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55DC7">
      <w:pPr>
        <w:spacing w:after="60"/>
        <w:jc w:val="right"/>
        <w:rPr>
          <w:sz w:val="20"/>
          <w:szCs w:val="20"/>
          <w:lang w:val="de-DE" w:eastAsia="ar-SA" w:bidi="ar-SA"/>
        </w:rPr>
      </w:pPr>
    </w:p>
    <w:p w:rsidR="00000000" w:rsidRDefault="00655DC7">
      <w:pPr>
        <w:spacing w:after="60"/>
        <w:rPr>
          <w:sz w:val="18"/>
          <w:szCs w:val="18"/>
          <w:u w:val="single"/>
          <w:lang w:val="de-DE"/>
        </w:rPr>
      </w:pPr>
    </w:p>
    <w:p w:rsidR="00000000" w:rsidRDefault="00655DC7">
      <w:pPr>
        <w:spacing w:after="60"/>
        <w:rPr>
          <w:sz w:val="20"/>
          <w:szCs w:val="20"/>
          <w:u w:val="single"/>
          <w:lang w:val="de-DE"/>
        </w:rPr>
      </w:pPr>
    </w:p>
    <w:p w:rsidR="00000000" w:rsidRDefault="00655DC7">
      <w:pPr>
        <w:rPr>
          <w:rFonts w:eastAsia="Times New Roman"/>
          <w:sz w:val="20"/>
          <w:szCs w:val="20"/>
          <w:lang w:val="de-DE" w:eastAsia="ar-SA" w:bidi="ar-SA"/>
        </w:rPr>
      </w:pPr>
      <w:r>
        <w:rPr>
          <w:rFonts w:eastAsia="Times New Roman"/>
          <w:sz w:val="20"/>
          <w:szCs w:val="20"/>
          <w:lang w:val="de-DE" w:eastAsia="ar-SA" w:bidi="ar-SA"/>
        </w:rPr>
        <w:br/>
      </w:r>
    </w:p>
    <w:p w:rsidR="00000000" w:rsidRDefault="00655DC7">
      <w:pPr>
        <w:rPr>
          <w:rFonts w:eastAsia="Times New Roman"/>
          <w:sz w:val="20"/>
          <w:szCs w:val="20"/>
          <w:lang w:val="de-DE" w:eastAsia="ar-SA" w:bidi="ar-SA"/>
        </w:rPr>
      </w:pPr>
    </w:p>
    <w:p w:rsidR="00000000" w:rsidRDefault="00655DC7">
      <w:pPr>
        <w:rPr>
          <w:rFonts w:eastAsia="Times New Roman"/>
          <w:sz w:val="20"/>
          <w:szCs w:val="20"/>
          <w:lang w:val="de-DE" w:eastAsia="ar-SA" w:bidi="ar-SA"/>
        </w:rPr>
      </w:pPr>
    </w:p>
    <w:p w:rsidR="00000000" w:rsidRDefault="00655DC7">
      <w:pPr>
        <w:rPr>
          <w:rFonts w:eastAsia="Times New Roman"/>
          <w:sz w:val="20"/>
          <w:szCs w:val="20"/>
          <w:lang w:val="de-DE" w:eastAsia="ar-SA" w:bidi="ar-SA"/>
        </w:rPr>
      </w:pPr>
    </w:p>
    <w:p w:rsidR="00000000" w:rsidRDefault="00655DC7">
      <w:pPr>
        <w:rPr>
          <w:sz w:val="20"/>
          <w:szCs w:val="20"/>
          <w:u w:val="single"/>
          <w:lang w:val="de-DE"/>
        </w:rPr>
      </w:pPr>
    </w:p>
    <w:p w:rsidR="00000000" w:rsidRDefault="00655DC7">
      <w:pPr>
        <w:jc w:val="right"/>
      </w:pPr>
    </w:p>
    <w:p w:rsidR="00000000" w:rsidRDefault="00655DC7">
      <w:pPr>
        <w:jc w:val="right"/>
        <w:rPr>
          <w:rFonts w:ascii="DejaVu Sans" w:hAnsi="DejaVu Sans" w:cs="DejaVu Sans"/>
          <w:i/>
          <w:iCs/>
          <w:color w:val="000000"/>
          <w:u w:val="single"/>
          <w:lang w:val="de-DE"/>
        </w:rPr>
      </w:pPr>
      <w:r>
        <w:rPr>
          <w:rFonts w:ascii="DejaVu Sans" w:hAnsi="DejaVu Sans" w:cs="DejaVu Sans"/>
          <w:color w:val="000000"/>
          <w:lang w:val="de-DE"/>
        </w:rPr>
        <w:t>Berlin, 5. April 2013</w:t>
      </w:r>
    </w:p>
    <w:p w:rsidR="00000000" w:rsidRDefault="00655DC7">
      <w:pPr>
        <w:snapToGrid w:val="0"/>
        <w:spacing w:line="200" w:lineRule="atLeast"/>
        <w:rPr>
          <w:rFonts w:ascii="DejaVu Sans" w:hAnsi="DejaVu Sans" w:cs="DejaVu Sans"/>
          <w:b/>
          <w:bCs/>
          <w:lang w:val="de-DE"/>
        </w:rPr>
      </w:pPr>
      <w:r>
        <w:rPr>
          <w:rFonts w:ascii="DejaVu Sans" w:hAnsi="DejaVu Sans" w:cs="DejaVu Sans"/>
          <w:i/>
          <w:iCs/>
          <w:color w:val="000000"/>
          <w:u w:val="single"/>
          <w:lang w:val="de-DE"/>
        </w:rPr>
        <w:t>Offener Brief an die Mitglieder des Deutschen Bundesrats</w:t>
      </w:r>
    </w:p>
    <w:p w:rsidR="00000000" w:rsidRDefault="00655DC7">
      <w:pPr>
        <w:spacing w:after="0" w:line="200" w:lineRule="atLeast"/>
        <w:jc w:val="both"/>
        <w:rPr>
          <w:rFonts w:ascii="DejaVu Sans" w:hAnsi="DejaVu Sans" w:cs="DejaVu Sans"/>
          <w:b/>
          <w:bCs/>
          <w:lang w:val="de-DE"/>
        </w:rPr>
      </w:pPr>
      <w:r>
        <w:rPr>
          <w:rFonts w:ascii="DejaVu Sans" w:hAnsi="DejaVu Sans" w:cs="DejaVu Sans"/>
          <w:b/>
          <w:bCs/>
          <w:lang w:val="de-DE"/>
        </w:rPr>
        <w:t xml:space="preserve">Ein breites Bündnis aus kirchlichen Hilfswerken, Menschenrechts-, Entwicklungs- und Umweltorganisationen appelliert an Sie: </w:t>
      </w:r>
    </w:p>
    <w:p w:rsidR="00000000" w:rsidRDefault="00655DC7">
      <w:pPr>
        <w:spacing w:after="0" w:line="200" w:lineRule="atLeast"/>
        <w:jc w:val="both"/>
        <w:rPr>
          <w:rFonts w:ascii="DejaVu Sans" w:hAnsi="DejaVu Sans" w:cs="DejaVu Sans"/>
          <w:color w:val="000000"/>
          <w:lang w:val="de-DE"/>
        </w:rPr>
      </w:pPr>
      <w:r>
        <w:rPr>
          <w:rFonts w:ascii="DejaVu Sans" w:hAnsi="DejaVu Sans" w:cs="DejaVu Sans"/>
          <w:b/>
          <w:bCs/>
          <w:lang w:val="de-DE"/>
        </w:rPr>
        <w:t>Stimmen Sie dem Gesetz zum Handelsabkommen</w:t>
      </w:r>
      <w:r>
        <w:rPr>
          <w:rFonts w:ascii="DejaVu Sans" w:hAnsi="DejaVu Sans" w:cs="DejaVu Sans"/>
          <w:b/>
          <w:bCs/>
          <w:lang w:val="de-DE"/>
        </w:rPr>
        <w:t xml:space="preserve"> mit Kolumbien und Peru nicht zu!</w:t>
      </w:r>
    </w:p>
    <w:p w:rsidR="00000000" w:rsidRDefault="00655DC7">
      <w:pPr>
        <w:spacing w:line="200" w:lineRule="atLeast"/>
        <w:jc w:val="both"/>
        <w:rPr>
          <w:rFonts w:ascii="DejaVu Sans" w:hAnsi="DejaVu Sans" w:cs="DejaVu Sans"/>
          <w:lang w:val="de-DE"/>
        </w:rPr>
      </w:pPr>
      <w:r>
        <w:rPr>
          <w:rFonts w:ascii="DejaVu Sans" w:hAnsi="DejaVu Sans" w:cs="DejaVu Sans"/>
          <w:color w:val="000000"/>
          <w:lang w:val="de-DE"/>
        </w:rPr>
        <w:t xml:space="preserve">Das Freihandelsabkommen zwischen der EU, Peru und Kolumbien wird die menschenrechtlichen, sozialen und ökologischen Probleme verschärfen und droht, die politischen Handlungsspielräume der Parlamente auf nationaler und auf </w:t>
      </w:r>
      <w:r>
        <w:rPr>
          <w:rFonts w:ascii="DejaVu Sans" w:hAnsi="DejaVu Sans" w:cs="DejaVu Sans"/>
          <w:color w:val="000000"/>
          <w:lang w:val="de-DE"/>
        </w:rPr>
        <w:t xml:space="preserve">Länderebene zu beschneiden. </w:t>
      </w:r>
    </w:p>
    <w:p w:rsidR="00000000" w:rsidRDefault="00655DC7">
      <w:pPr>
        <w:spacing w:line="200" w:lineRule="atLeast"/>
        <w:rPr>
          <w:rFonts w:ascii="DejaVu Sans" w:hAnsi="DejaVu Sans" w:cs="DejaVu Sans"/>
          <w:lang w:val="de-DE"/>
        </w:rPr>
      </w:pPr>
    </w:p>
    <w:p w:rsidR="00000000" w:rsidRDefault="00655DC7">
      <w:pPr>
        <w:spacing w:line="2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 xml:space="preserve">Im Deutschen Bundesrat wird im April das Gesetz zu dem Handelsübereinkommen vom 26. Juni 2012 zwischen der Europäischen Union und ihren Mitgliedstaaten einerseits sowie Kolumbien und Peru andererseits zur Zustimmung </w:t>
      </w:r>
      <w:r>
        <w:rPr>
          <w:rFonts w:ascii="DejaVu Sans" w:eastAsia="Times New Roman" w:hAnsi="DejaVu Sans" w:cs="DejaVu Sans"/>
          <w:lang w:val="de-DE"/>
        </w:rPr>
        <w:t>gemäß Art</w:t>
      </w:r>
      <w:r>
        <w:rPr>
          <w:rFonts w:ascii="DejaVu Sans" w:eastAsia="Times New Roman" w:hAnsi="DejaVu Sans" w:cs="DejaVu Sans"/>
          <w:lang w:val="de-DE"/>
        </w:rPr>
        <w:t>ikel 84, Absatz 1, Satz 5 und 6 GG</w:t>
      </w:r>
      <w:r>
        <w:rPr>
          <w:rFonts w:ascii="DejaVu Sans" w:hAnsi="DejaVu Sans" w:cs="DejaVu Sans"/>
          <w:lang w:val="de-DE"/>
        </w:rPr>
        <w:t xml:space="preserve"> vorgelegt. Die unterzeichnenden Organisationen haben Grund zur Sorge, dass dieses Abkommen die menschenrechtlichen, sozialen und ökologischen Probleme in Peru und Kolumbien verschärfen wird. Diese Einschätzung wurde von d</w:t>
      </w:r>
      <w:r>
        <w:rPr>
          <w:rFonts w:ascii="DejaVu Sans" w:hAnsi="DejaVu Sans" w:cs="DejaVu Sans"/>
          <w:lang w:val="de-DE"/>
        </w:rPr>
        <w:t xml:space="preserve">en Oppositionsparteien im Bundestag geteilt. Die Fraktionen von SPD, BÜNDNIS 90/DIE GRÜNEN und Die Linke stimmten am 21. März 2013 geschlossen gegen den derzeitigen Entwurf des Freihandelsabkommens mit der Begründung, dass in dessen Nachhaltigkeitskapitel </w:t>
      </w:r>
      <w:r>
        <w:rPr>
          <w:rFonts w:ascii="DejaVu Sans" w:hAnsi="DejaVu Sans" w:cs="DejaVu Sans"/>
          <w:lang w:val="de-DE"/>
        </w:rPr>
        <w:t>verbindliche Überprüfungs-, Sanktions- und Streitbeilegungsmechanismen fehlen.</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Im internen bewaffneten Konflikt in Kolumbien wurden bislang etwa vier Millionen Menschen vertrieben, mehr als 16.000 Personen gelten als zwangsweise Verschwundene. Allein 2011</w:t>
      </w:r>
      <w:r>
        <w:rPr>
          <w:rFonts w:ascii="DejaVu Sans" w:hAnsi="DejaVu Sans" w:cs="DejaVu Sans"/>
          <w:lang w:val="de-DE"/>
        </w:rPr>
        <w:t xml:space="preserve"> wurden 34 GewerkschafterInnen ermordet. Das Handelsabkommen enthält keine verbindlichen und effektiven Regelungen für die Einhaltung der Menschenrechte. Es wird zudem jene Sektoren der Wirtschaft in Kolumbien stärken, die für die massiven Vertreibungen mi</w:t>
      </w:r>
      <w:r>
        <w:rPr>
          <w:rFonts w:ascii="DejaVu Sans" w:hAnsi="DejaVu Sans" w:cs="DejaVu Sans"/>
          <w:lang w:val="de-DE"/>
        </w:rPr>
        <w:t>tverantwortlich sind, wie etwa Bergbau, Agrobusiness und große Infrastrukturprojekte. Es besteht dadurch eine akute Gefahr, dass die Umsetzung des Abkommens durch die Liberalisierung dieser Sektoren selbst zur Verletzung von Menschenrechten beitragen wird.</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 xml:space="preserve">Ferner sieht das Abkommen keine verbindlichen Umweltstandards vor, die sicherstellen könnten, dass Rohstoffförderung, Ausbreitung von Ölpalm-Plantagen und </w:t>
      </w:r>
      <w:r>
        <w:rPr>
          <w:rFonts w:ascii="DejaVu Sans" w:hAnsi="DejaVu Sans" w:cs="DejaVu Sans"/>
          <w:lang w:val="de-DE"/>
        </w:rPr>
        <w:t>großflächige Landakquisitionen nicht die Lebensgrundlagen der lokalen Bevölkerung zerstören. 2012 w</w:t>
      </w:r>
      <w:r>
        <w:rPr>
          <w:rFonts w:ascii="DejaVu Sans" w:hAnsi="DejaVu Sans" w:cs="DejaVu Sans"/>
          <w:lang w:val="de-DE"/>
        </w:rPr>
        <w:t xml:space="preserve">urden allein in Peru 146 Umweltkonflikte gezählt und die Regierung geht in den betroffenen Regionen mit Polizei und Militär gegen Menschen vor, die sich gegen Landraub und die Vergiftung des Wassers wehren. Bei diesen Konflikten starben im letzten Jahr 16 </w:t>
      </w:r>
      <w:r>
        <w:rPr>
          <w:rFonts w:ascii="DejaVu Sans" w:hAnsi="DejaVu Sans" w:cs="DejaVu Sans"/>
          <w:lang w:val="de-DE"/>
        </w:rPr>
        <w:t>Menschen.</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Artikel 25 des Abkommens verbietet Kolumbien und Peru, Ausfuhrzölle oder sonstige Ausfuhrbeschränkungen beizubehalten oder neue einzuführen. Damit soll das Abkommen europäischen Unternehmen freien Zugang zu den Rohstoffen dieser Länder verschaff</w:t>
      </w:r>
      <w:r>
        <w:rPr>
          <w:rFonts w:ascii="DejaVu Sans" w:hAnsi="DejaVu Sans" w:cs="DejaVu Sans"/>
          <w:lang w:val="de-DE"/>
        </w:rPr>
        <w:t>en. Doch gerade eine Regulierung und Besteuerung von Exporten kann, im Zusammenspiel mit einer verantwortungsvollen Bergbaupolitik, ein wichtiges Instrument zur ökologischen und sozialen Reform des Rohstoffsektors sein und dazu beitragen, dass größere Teil</w:t>
      </w:r>
      <w:r>
        <w:rPr>
          <w:rFonts w:ascii="DejaVu Sans" w:hAnsi="DejaVu Sans" w:cs="DejaVu Sans"/>
          <w:lang w:val="de-DE"/>
        </w:rPr>
        <w:t>e der Bevölkerung vom Rohstoffreichtum profitieren. Das Abkommen hingegen nimmt in Kauf, dass die menschenrechtlichen, sozialen und ökologischen Probleme durch den Rohstoffabbau weiter zunehmen und die dadurch ausgelösten Konflikte sich verschärfen. Hauptu</w:t>
      </w:r>
      <w:r>
        <w:rPr>
          <w:rFonts w:ascii="DejaVu Sans" w:hAnsi="DejaVu Sans" w:cs="DejaVu Sans"/>
          <w:lang w:val="de-DE"/>
        </w:rPr>
        <w:t xml:space="preserve">rsache dieser Konflikte sind Bergbau und Ölförderung, zum Großteil für den Export. </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Internationale Bergbaukonzerne sind nachweislich als Verursacher an Umweltschäden und Verstößen gegen die ILO-Kernarbeitsnormen beteiligt. In Anbetracht der andauernden La</w:t>
      </w:r>
      <w:r>
        <w:rPr>
          <w:rFonts w:ascii="DejaVu Sans" w:hAnsi="DejaVu Sans" w:cs="DejaVu Sans"/>
          <w:lang w:val="de-DE"/>
        </w:rPr>
        <w:t>ndkonflikte und der häufig ungeklärten Landtitel in Peru und Kolumbien besteht ein hohes Risiko, dass vermehrte Investitionen in Bergbauprojekte zu weiteren Menschenrechtsverletzungen führen. Der rücksichtslose Abbau der Rohstoffe in den Ländern forciert V</w:t>
      </w:r>
      <w:r>
        <w:rPr>
          <w:rFonts w:ascii="DejaVu Sans" w:hAnsi="DejaVu Sans" w:cs="DejaVu Sans"/>
          <w:lang w:val="de-DE"/>
        </w:rPr>
        <w:t>ertreibung und Konflikte. Zudem geht diese Form des Rohstoffabbaus mit Verletzungen der von Kolumbien und Peru ratifizierten ILO-Konvention 169 einher, die das Recht auf freie, vorherige und informierte Zustimmung der indigenen Bevölkerung verbindlich fest</w:t>
      </w:r>
      <w:r>
        <w:rPr>
          <w:rFonts w:ascii="DejaVu Sans" w:hAnsi="DejaVu Sans" w:cs="DejaVu Sans"/>
          <w:lang w:val="de-DE"/>
        </w:rPr>
        <w:t xml:space="preserve">schreibt. </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Eine Gefährdung des Menschenrechts auf Nahrung entsteht, weil sich Peru und Kolumbien in dem Abkommen dazu verpflichten, die Einfuhrzölle auf 90 Prozent der landwirtschaftlichen und anderen Güter abzuschaffen. Der ungeschützten Konkurrenz durch</w:t>
      </w:r>
      <w:r>
        <w:rPr>
          <w:rFonts w:ascii="DejaVu Sans" w:hAnsi="DejaVu Sans" w:cs="DejaVu Sans"/>
          <w:lang w:val="de-DE"/>
        </w:rPr>
        <w:t xml:space="preserve"> zum Teil hoch subventionierte Produkte aus der EU, wie etwa Milchpulver, sind viele kleinbäuerliche Betriebe in diesen Ländern nicht gewachsen. Erleichterte und subventionierte Einfuhren aus der EU können daher zu Einkommensverlusten bis hin zur Existenzg</w:t>
      </w:r>
      <w:r>
        <w:rPr>
          <w:rFonts w:ascii="DejaVu Sans" w:hAnsi="DejaVu Sans" w:cs="DejaVu Sans"/>
          <w:lang w:val="de-DE"/>
        </w:rPr>
        <w:t>efährdung bei kolumbianischen und peruanischen Landwirten führen, von denen viele ohnehin bereits von Hunger und Armut getroffen oder bedroht sind.</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Angesichts der erheblichen ökonomischen Asymmetrien zwischen den Handelspartnern droht eine weitgehende Lib</w:t>
      </w:r>
      <w:r>
        <w:rPr>
          <w:rFonts w:ascii="DejaVu Sans" w:hAnsi="DejaVu Sans" w:cs="DejaVu Sans"/>
          <w:lang w:val="de-DE"/>
        </w:rPr>
        <w:t xml:space="preserve">eralisierung eine Entwicklung der beiden lateinamerikanischen Staaten über die Rolle als rein rohstoffexportierende Länder hinaus zu verhindern. Um sich aus der Exportabhängigkeit zu befreien, brauchen Peru und Kolumbien politische Handlungsspielräume zur </w:t>
      </w:r>
      <w:r>
        <w:rPr>
          <w:rFonts w:ascii="DejaVu Sans" w:hAnsi="DejaVu Sans" w:cs="DejaVu Sans"/>
          <w:lang w:val="de-DE"/>
        </w:rPr>
        <w:t>Regulierung ihrer Wirtschaft – doch eben diese Spielräume schränkt das geplante Abkommen ein.</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Die im Handelsabkommen vereinbarten Liberalisierungen der Finanzmärkte erschweren die internationalen Bemühungen zur Regulierung des Finanzsektors und erleichter</w:t>
      </w:r>
      <w:r>
        <w:rPr>
          <w:rFonts w:ascii="DejaVu Sans" w:hAnsi="DejaVu Sans" w:cs="DejaVu Sans"/>
          <w:lang w:val="de-DE"/>
        </w:rPr>
        <w:t xml:space="preserve">n Geldwäsche und Steuerhinterziehung. So könnten Finanzakteure riskante Geschäfte eingehen und anbieten, ohne ausreichend von einer der Vertragsparteien </w:t>
      </w:r>
      <w:r>
        <w:rPr>
          <w:rFonts w:ascii="DejaVu Sans" w:hAnsi="DejaVu Sans" w:cs="DejaVu Sans"/>
          <w:shd w:val="clear" w:color="auto" w:fill="FFFFFF"/>
          <w:lang w:val="de-DE"/>
        </w:rPr>
        <w:t>kontrolliert</w:t>
      </w:r>
      <w:r>
        <w:rPr>
          <w:rFonts w:ascii="DejaVu Sans" w:hAnsi="DejaVu Sans" w:cs="DejaVu Sans"/>
          <w:lang w:val="de-DE"/>
        </w:rPr>
        <w:t xml:space="preserve"> zu sein. Das Abkommen schützt auch nur unzureichend das Recht der Vertragsparteien, Kapita</w:t>
      </w:r>
      <w:r>
        <w:rPr>
          <w:rFonts w:ascii="DejaVu Sans" w:hAnsi="DejaVu Sans" w:cs="DejaVu Sans"/>
          <w:lang w:val="de-DE"/>
        </w:rPr>
        <w:t xml:space="preserve">lflüsse zu </w:t>
      </w:r>
      <w:r>
        <w:rPr>
          <w:rFonts w:ascii="DejaVu Sans" w:hAnsi="DejaVu Sans" w:cs="DejaVu Sans"/>
          <w:shd w:val="clear" w:color="auto" w:fill="FFFFFF"/>
          <w:lang w:val="de-DE"/>
        </w:rPr>
        <w:t>überwachen</w:t>
      </w:r>
      <w:r>
        <w:rPr>
          <w:rFonts w:ascii="DejaVu Sans" w:hAnsi="DejaVu Sans" w:cs="DejaVu Sans"/>
          <w:lang w:val="de-DE"/>
        </w:rPr>
        <w:t>. In seiner derzeitigen Form konterkariert das Freihandelsabkommen zudem die aktuellen Pläne zu einer EU-Finanzmarktreform zur Eindämmung</w:t>
      </w:r>
      <w:r>
        <w:rPr>
          <w:rFonts w:ascii="DejaVu Sans" w:hAnsi="DejaVu Sans" w:cs="DejaVu Sans"/>
          <w:shd w:val="clear" w:color="auto" w:fill="FFFFFF"/>
          <w:lang w:val="de-DE"/>
        </w:rPr>
        <w:t xml:space="preserve"> der Krise</w:t>
      </w:r>
      <w:r>
        <w:rPr>
          <w:rFonts w:ascii="DejaVu Sans" w:hAnsi="DejaVu Sans" w:cs="DejaVu Sans"/>
          <w:lang w:val="de-DE"/>
        </w:rPr>
        <w:t>. Während auf EU-Ebene versucht wird, Kapitalverkehrskontrollen, eine gemeinsame Bankena</w:t>
      </w:r>
      <w:r>
        <w:rPr>
          <w:rFonts w:ascii="DejaVu Sans" w:hAnsi="DejaVu Sans" w:cs="DejaVu Sans"/>
          <w:lang w:val="de-DE"/>
        </w:rPr>
        <w:t>ufsicht sowie mehr Transparenz im Finanzsektor durchzusetzen, sind solche Mechanismen im Freihandelsabkommen nicht vorgesehen.</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Im Bereich der geistigen Eigentumsrechte werden Kolumbien und Peru in Artikel 232 verpflichtet, die Standards des Sortenschutzab</w:t>
      </w:r>
      <w:r>
        <w:rPr>
          <w:rFonts w:ascii="DejaVu Sans" w:hAnsi="DejaVu Sans" w:cs="DejaVu Sans"/>
          <w:lang w:val="de-DE"/>
        </w:rPr>
        <w:t xml:space="preserve">kommens UPOV in der Version von 1991 umzusetzen. Kolumbien und Peru sind beide UPOV-Mitglieder. Bisher hat jedoch nur Peru den UPOV 91 Act ratifiziert. Kolumbien handelt weiter nach dem UPOV 78 Act, der wesentlich mehr Freiheiten für den Austausch und den </w:t>
      </w:r>
      <w:r>
        <w:rPr>
          <w:rFonts w:ascii="DejaVu Sans" w:hAnsi="DejaVu Sans" w:cs="DejaVu Sans"/>
          <w:lang w:val="de-DE"/>
        </w:rPr>
        <w:t>Weiterverkauf von Saatgut beinhaltet. Mitglieder, die den Act von 1991 ratifiziert haben, müssen Gesetze erlassen, welche den Austausch und Weiterverkauf kommerziellen Saatguts während der 20-jährigen Geltungsdauer des Sortenschutzes verbieten und auch die</w:t>
      </w:r>
      <w:r>
        <w:rPr>
          <w:rFonts w:ascii="DejaVu Sans" w:hAnsi="DejaVu Sans" w:cs="DejaVu Sans"/>
          <w:lang w:val="de-DE"/>
        </w:rPr>
        <w:t xml:space="preserve"> Wiederaussaat nur gegen Entrichtung von Nachbaugebühren erlauben. Dies zerstört die traditionelle bäuerliche Praxis des freien Austauschs von Saatgut, erschwert den Zugang von Bauerngemeinschaften zu Saatgut, erhöht ihre landwirtschaftlichen Produktionsko</w:t>
      </w:r>
      <w:r>
        <w:rPr>
          <w:rFonts w:ascii="DejaVu Sans" w:hAnsi="DejaVu Sans" w:cs="DejaVu Sans"/>
          <w:lang w:val="de-DE"/>
        </w:rPr>
        <w:t>sten und gefährdet damit ihr Menschenrecht auf Nahrung. Kolumbien darf daher nicht verpflichtet werden, seinen Status von UPOV 78 auf UPOV 91 zu verändern.</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Zusätzlich wird durch sogenannte Datenexklusivität die Marktzulassung von Gene</w:t>
      </w:r>
      <w:r>
        <w:rPr>
          <w:rFonts w:ascii="DejaVu Sans" w:hAnsi="DejaVu Sans" w:cs="DejaVu Sans"/>
          <w:lang w:val="de-DE"/>
        </w:rPr>
        <w:softHyphen/>
        <w:t>rika verhindert oder</w:t>
      </w:r>
      <w:r>
        <w:rPr>
          <w:rFonts w:ascii="DejaVu Sans" w:hAnsi="DejaVu Sans" w:cs="DejaVu Sans"/>
          <w:lang w:val="de-DE"/>
        </w:rPr>
        <w:t xml:space="preserve"> zumindest deutlich verzögert. Es kann dazu führen, dass die noch verbliebenen und in den WTO-Abkommen garantierten Schutzklauseln ausge</w:t>
      </w:r>
      <w:r>
        <w:rPr>
          <w:rFonts w:ascii="DejaVu Sans" w:hAnsi="DejaVu Sans" w:cs="DejaVu Sans"/>
          <w:lang w:val="de-DE"/>
        </w:rPr>
        <w:softHyphen/>
        <w:t>hebelt werden, die es ermöglichen, Patente außer Kraft zu setzen und qualitativ gleichwertige aber wesentlich kostengün</w:t>
      </w:r>
      <w:r>
        <w:rPr>
          <w:rFonts w:ascii="DejaVu Sans" w:hAnsi="DejaVu Sans" w:cs="DejaVu Sans"/>
          <w:lang w:val="de-DE"/>
        </w:rPr>
        <w:t>stigere Kopien von Originalprodukten zu beziehen. Die kostensenkende Wirkung der Konkurrenz durch Generika ist gerade im Hinblick auf HIV/Aids-Präparate häufig lebensnotwendig. Vor allem dank Gene</w:t>
      </w:r>
      <w:r>
        <w:rPr>
          <w:rFonts w:ascii="DejaVu Sans" w:hAnsi="DejaVu Sans" w:cs="DejaVu Sans"/>
          <w:lang w:val="de-DE"/>
        </w:rPr>
        <w:softHyphen/>
        <w:t>rika ist es möglich, dass heute rund acht Millionen Mensche</w:t>
      </w:r>
      <w:r>
        <w:rPr>
          <w:rFonts w:ascii="DejaVu Sans" w:hAnsi="DejaVu Sans" w:cs="DejaVu Sans"/>
          <w:lang w:val="de-DE"/>
        </w:rPr>
        <w:t>n lebensrettende HIV-Medikamente erhalten.</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eastAsia="Arial Unicode MS" w:hAnsi="DejaVu Sans" w:cs="DejaVu Sans"/>
          <w:color w:val="000000"/>
          <w:lang w:val="de-DE"/>
        </w:rPr>
        <w:t>Wir haben große Zweifel, dass ein Abkommen, das in seinen Kernbestandteilen so viele Probleme birgt, durch unverbindliche Nebenerklärungen verbessert werden kann. So soll beispielsweise eine vom EU-Parlament im J</w:t>
      </w:r>
      <w:r>
        <w:rPr>
          <w:rFonts w:ascii="DejaVu Sans" w:eastAsia="Arial Unicode MS" w:hAnsi="DejaVu Sans" w:cs="DejaVu Sans"/>
          <w:color w:val="000000"/>
          <w:lang w:val="de-DE"/>
        </w:rPr>
        <w:t>uni 2012 verabschiedete Resolution eine Überprüfung sozialer, arbeitsrechtlicher und Umwelt-Standards sowie der Menschenrechtssituation in Kolumbien und Peru gewährleisten. Beide Länder hatten dem Europäischen Parlament dazu einen Aktionsplan vorgelegt. Do</w:t>
      </w:r>
      <w:r>
        <w:rPr>
          <w:rFonts w:ascii="DejaVu Sans" w:eastAsia="Arial Unicode MS" w:hAnsi="DejaVu Sans" w:cs="DejaVu Sans"/>
          <w:color w:val="000000"/>
          <w:lang w:val="de-DE"/>
        </w:rPr>
        <w:t>ch sowohl die kolumbianische Gewerkschaftsakademie (ENS) als auch zivilge</w:t>
      </w:r>
      <w:r>
        <w:rPr>
          <w:rFonts w:ascii="DejaVu Sans" w:eastAsia="Arial Unicode MS" w:hAnsi="DejaVu Sans" w:cs="DejaVu Sans"/>
          <w:color w:val="000000"/>
          <w:lang w:val="de-DE"/>
        </w:rPr>
        <w:softHyphen/>
        <w:t xml:space="preserve">sellschaftliche Organisationen kritisieren die mangelnde Verbindlichkeit dieser Aktionspläne. </w:t>
      </w:r>
      <w:r>
        <w:rPr>
          <w:rStyle w:val="Kommentarzeichen1"/>
          <w:rFonts w:ascii="DejaVu Sans" w:eastAsia="Arial Unicode MS" w:hAnsi="DejaVu Sans" w:cs="DejaVu Sans"/>
          <w:color w:val="000000"/>
          <w:kern w:val="1"/>
          <w:sz w:val="22"/>
          <w:szCs w:val="22"/>
          <w:lang w:val="de-DE"/>
        </w:rPr>
        <w:t>Das wesentliche Defizit dieser Resolution besteht darin, dass sie am Fehlen von Sanktion</w:t>
      </w:r>
      <w:r>
        <w:rPr>
          <w:rStyle w:val="Kommentarzeichen1"/>
          <w:rFonts w:ascii="DejaVu Sans" w:eastAsia="Arial Unicode MS" w:hAnsi="DejaVu Sans" w:cs="DejaVu Sans"/>
          <w:color w:val="000000"/>
          <w:kern w:val="1"/>
          <w:sz w:val="22"/>
          <w:szCs w:val="22"/>
          <w:lang w:val="de-DE"/>
        </w:rPr>
        <w:t>smöglichkeiten bei Verstößen gegen Menschenrechts-, Sozial- und Umweltklauseln im Abkommen selbst nichts ändert.</w:t>
      </w:r>
    </w:p>
    <w:p w:rsidR="00000000" w:rsidRDefault="00655DC7">
      <w:pPr>
        <w:spacing w:after="0" w:line="100" w:lineRule="atLeast"/>
        <w:rPr>
          <w:rFonts w:ascii="DejaVu Sans" w:hAnsi="DejaVu Sans" w:cs="DejaVu Sans"/>
          <w:lang w:val="de-DE"/>
        </w:rPr>
      </w:pPr>
    </w:p>
    <w:p w:rsidR="00000000" w:rsidRDefault="00655DC7">
      <w:pPr>
        <w:spacing w:after="0" w:line="100" w:lineRule="atLeast"/>
        <w:rPr>
          <w:rFonts w:ascii="DejaVu Sans" w:hAnsi="DejaVu Sans" w:cs="DejaVu Sans"/>
          <w:lang w:val="de-DE"/>
        </w:rPr>
      </w:pPr>
      <w:r>
        <w:rPr>
          <w:rFonts w:ascii="DejaVu Sans" w:hAnsi="DejaVu Sans" w:cs="DejaVu Sans"/>
          <w:lang w:val="de-DE"/>
        </w:rPr>
        <w:t xml:space="preserve">Wir bitten Sie daher: </w:t>
      </w:r>
    </w:p>
    <w:p w:rsidR="00000000" w:rsidRDefault="00655DC7">
      <w:pPr>
        <w:numPr>
          <w:ilvl w:val="0"/>
          <w:numId w:val="2"/>
        </w:numPr>
        <w:spacing w:after="0" w:line="100" w:lineRule="atLeast"/>
        <w:rPr>
          <w:rFonts w:ascii="DejaVu Sans" w:hAnsi="DejaVu Sans" w:cs="DejaVu Sans"/>
          <w:lang w:val="de-DE"/>
        </w:rPr>
      </w:pPr>
      <w:r>
        <w:rPr>
          <w:rFonts w:ascii="DejaVu Sans" w:hAnsi="DejaVu Sans" w:cs="DejaVu Sans"/>
          <w:lang w:val="de-DE"/>
        </w:rPr>
        <w:t>Stimmen Sie dem Gesetzentwurf der Bundesregierung in seiner derzeitigen Fassung und unter diesen Umständen nicht zu, um</w:t>
      </w:r>
      <w:r>
        <w:rPr>
          <w:rFonts w:ascii="DejaVu Sans" w:hAnsi="DejaVu Sans" w:cs="DejaVu Sans"/>
          <w:lang w:val="de-DE"/>
        </w:rPr>
        <w:t xml:space="preserve"> die dramatische Situation in Kolumbien und Peru nicht zu verschärfen.</w:t>
      </w:r>
    </w:p>
    <w:p w:rsidR="00000000" w:rsidRDefault="00655DC7">
      <w:pPr>
        <w:numPr>
          <w:ilvl w:val="0"/>
          <w:numId w:val="2"/>
        </w:numPr>
        <w:spacing w:after="0" w:line="100" w:lineRule="atLeast"/>
        <w:rPr>
          <w:rFonts w:ascii="DejaVu Sans" w:hAnsi="DejaVu Sans" w:cs="DejaVu Sans"/>
          <w:lang w:val="de-DE"/>
        </w:rPr>
      </w:pPr>
      <w:r>
        <w:rPr>
          <w:rFonts w:ascii="DejaVu Sans" w:hAnsi="DejaVu Sans" w:cs="DejaVu Sans"/>
          <w:lang w:val="de-DE"/>
        </w:rPr>
        <w:t>Setzen Sie sich dafür ein, dass Menschenrechte, ILO-Kernarbeitsnormen, Umweltstandards und die Mitwirkungsrechte der Bevölkerung oberste Priorität haben und umgesetzt werden.</w:t>
      </w:r>
    </w:p>
    <w:p w:rsidR="00000000" w:rsidRDefault="00655DC7">
      <w:pPr>
        <w:numPr>
          <w:ilvl w:val="0"/>
          <w:numId w:val="2"/>
        </w:numPr>
        <w:spacing w:after="0" w:line="100" w:lineRule="atLeast"/>
        <w:rPr>
          <w:rFonts w:ascii="DejaVu Sans" w:hAnsi="DejaVu Sans" w:cs="DejaVu Sans"/>
          <w:lang w:val="de-DE"/>
        </w:rPr>
      </w:pPr>
      <w:r>
        <w:rPr>
          <w:rFonts w:ascii="DejaVu Sans" w:hAnsi="DejaVu Sans" w:cs="DejaVu Sans"/>
          <w:lang w:val="de-DE"/>
        </w:rPr>
        <w:t>Setzen Sie</w:t>
      </w:r>
      <w:r>
        <w:rPr>
          <w:rFonts w:ascii="DejaVu Sans" w:hAnsi="DejaVu Sans" w:cs="DejaVu Sans"/>
          <w:lang w:val="de-DE"/>
        </w:rPr>
        <w:t xml:space="preserve"> sich dafür ein, dass künftig vor Beginn von Verhandlungen und vor einer Ratifizierung von Handelsabkommen der EU umfassende menschenrechtliche Folgeabschätzungen vorgenommen werden.</w:t>
      </w:r>
    </w:p>
    <w:p w:rsidR="00000000" w:rsidRDefault="00655DC7">
      <w:pPr>
        <w:numPr>
          <w:ilvl w:val="0"/>
          <w:numId w:val="2"/>
        </w:numPr>
        <w:spacing w:after="0" w:line="100" w:lineRule="atLeast"/>
        <w:rPr>
          <w:rFonts w:ascii="DejaVu Sans" w:eastAsia="MyriadSet-Text" w:hAnsi="DejaVu Sans" w:cs="DejaVu Sans"/>
          <w:i/>
          <w:iCs/>
          <w:color w:val="000000"/>
          <w:u w:val="single"/>
          <w:lang w:val="de-DE"/>
        </w:rPr>
      </w:pPr>
      <w:r>
        <w:rPr>
          <w:rFonts w:ascii="DejaVu Sans" w:hAnsi="DejaVu Sans" w:cs="DejaVu Sans"/>
          <w:lang w:val="de-DE"/>
        </w:rPr>
        <w:t>Setzen Sie sich für eine faire und gerechte Handelspolitik mit Peru und K</w:t>
      </w:r>
      <w:r>
        <w:rPr>
          <w:rFonts w:ascii="DejaVu Sans" w:hAnsi="DejaVu Sans" w:cs="DejaVu Sans"/>
          <w:lang w:val="de-DE"/>
        </w:rPr>
        <w:t>olumbien ein, die der besonderen Situation dieser Länder Rechnung trägt und ihnen die notwendigen politischen Handlungsspielräume sichert.</w:t>
      </w:r>
    </w:p>
    <w:p w:rsidR="00000000" w:rsidRDefault="00655DC7">
      <w:pPr>
        <w:spacing w:after="0" w:line="100" w:lineRule="atLeast"/>
        <w:rPr>
          <w:rFonts w:ascii="DejaVu Sans" w:eastAsia="MyriadSet-Text" w:hAnsi="DejaVu Sans" w:cs="DejaVu Sans"/>
          <w:i/>
          <w:iCs/>
          <w:color w:val="000000"/>
          <w:u w:val="single"/>
          <w:lang w:val="de-DE"/>
        </w:rPr>
      </w:pPr>
    </w:p>
    <w:p w:rsidR="00655DC7" w:rsidRDefault="00655DC7">
      <w:pPr>
        <w:spacing w:after="0" w:line="100" w:lineRule="atLeast"/>
      </w:pPr>
      <w:r>
        <w:rPr>
          <w:rFonts w:ascii="DejaVu Sans" w:hAnsi="DejaVu Sans" w:cs="DejaVu Sans"/>
          <w:lang w:val="de-DE"/>
        </w:rPr>
        <w:t xml:space="preserve">Mit freundlichen Grüßen, </w:t>
      </w:r>
    </w:p>
    <w:sectPr w:rsidR="00655DC7">
      <w:footerReference w:type="default" r:id="rId7"/>
      <w:pgSz w:w="11906" w:h="16838"/>
      <w:pgMar w:top="1134" w:right="1134" w:bottom="1210"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DC7" w:rsidRDefault="00655DC7">
      <w:pPr>
        <w:spacing w:after="0" w:line="240" w:lineRule="auto"/>
      </w:pPr>
      <w:r>
        <w:separator/>
      </w:r>
    </w:p>
  </w:endnote>
  <w:endnote w:type="continuationSeparator" w:id="0">
    <w:p w:rsidR="00655DC7" w:rsidRDefault="00655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DejaVu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yriadSet-Tex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5DC7">
    <w:pPr>
      <w:pStyle w:val="Piedepgina"/>
      <w:jc w:val="both"/>
    </w:pPr>
    <w:r>
      <w:rPr>
        <w:sz w:val="18"/>
        <w:szCs w:val="18"/>
      </w:rPr>
      <w:tab/>
    </w:r>
    <w:r>
      <w:rPr>
        <w:sz w:val="18"/>
        <w:szCs w:val="18"/>
      </w:rPr>
      <w:fldChar w:fldCharType="begin"/>
    </w:r>
    <w:r>
      <w:rPr>
        <w:sz w:val="18"/>
        <w:szCs w:val="18"/>
      </w:rPr>
      <w:instrText xml:space="preserve"> PAGE </w:instrText>
    </w:r>
    <w:r>
      <w:rPr>
        <w:sz w:val="18"/>
        <w:szCs w:val="18"/>
      </w:rPr>
      <w:fldChar w:fldCharType="separate"/>
    </w:r>
    <w:r>
      <w:rPr>
        <w:sz w:val="18"/>
        <w:szCs w:val="18"/>
      </w:rPr>
      <w:t>3</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DC7" w:rsidRDefault="00655DC7">
      <w:pPr>
        <w:spacing w:after="0" w:line="240" w:lineRule="auto"/>
      </w:pPr>
      <w:r>
        <w:separator/>
      </w:r>
    </w:p>
  </w:footnote>
  <w:footnote w:type="continuationSeparator" w:id="0">
    <w:p w:rsidR="00655DC7" w:rsidRDefault="00655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embedSystemFont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2C5"/>
    <w:rsid w:val="00655DC7"/>
    <w:rsid w:val="00EF22C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Verdana" w:eastAsia="Verdana" w:hAnsi="Verdana" w:cs="Verdana"/>
      <w:sz w:val="22"/>
      <w:szCs w:val="22"/>
      <w:lang w:val="en-US" w:eastAsia="en-US" w:bidi="en-US"/>
    </w:rPr>
  </w:style>
  <w:style w:type="paragraph" w:styleId="Ttulo1">
    <w:name w:val="heading 1"/>
    <w:basedOn w:val="Normal"/>
    <w:next w:val="Normal"/>
    <w:qFormat/>
    <w:pPr>
      <w:numPr>
        <w:numId w:val="1"/>
      </w:numPr>
      <w:spacing w:before="480" w:after="0"/>
      <w:outlineLvl w:val="0"/>
    </w:pPr>
    <w:rPr>
      <w:smallCaps/>
      <w:spacing w:val="5"/>
      <w:sz w:val="36"/>
      <w:szCs w:val="36"/>
    </w:rPr>
  </w:style>
  <w:style w:type="paragraph" w:styleId="Ttulo2">
    <w:name w:val="heading 2"/>
    <w:basedOn w:val="Normal"/>
    <w:next w:val="Normal"/>
    <w:qFormat/>
    <w:pPr>
      <w:numPr>
        <w:ilvl w:val="1"/>
        <w:numId w:val="1"/>
      </w:numPr>
      <w:spacing w:before="200" w:after="0" w:line="264" w:lineRule="auto"/>
      <w:outlineLvl w:val="1"/>
    </w:pPr>
    <w:rPr>
      <w:smallCaps/>
      <w:sz w:val="28"/>
      <w:szCs w:val="28"/>
    </w:rPr>
  </w:style>
  <w:style w:type="paragraph" w:styleId="Ttulo3">
    <w:name w:val="heading 3"/>
    <w:basedOn w:val="Normal"/>
    <w:next w:val="Normal"/>
    <w:qFormat/>
    <w:pPr>
      <w:numPr>
        <w:ilvl w:val="2"/>
        <w:numId w:val="1"/>
      </w:numPr>
      <w:spacing w:before="200" w:after="0" w:line="264" w:lineRule="auto"/>
      <w:outlineLvl w:val="2"/>
    </w:pPr>
    <w:rPr>
      <w:i/>
      <w:iCs/>
      <w:smallCaps/>
      <w:spacing w:val="5"/>
      <w:sz w:val="26"/>
      <w:szCs w:val="26"/>
    </w:rPr>
  </w:style>
  <w:style w:type="paragraph" w:styleId="Ttulo4">
    <w:name w:val="heading 4"/>
    <w:basedOn w:val="Normal"/>
    <w:next w:val="Normal"/>
    <w:qFormat/>
    <w:pPr>
      <w:numPr>
        <w:ilvl w:val="3"/>
        <w:numId w:val="1"/>
      </w:numPr>
      <w:spacing w:after="0" w:line="264" w:lineRule="auto"/>
      <w:outlineLvl w:val="3"/>
    </w:pPr>
    <w:rPr>
      <w:b/>
      <w:bCs/>
      <w:spacing w:val="5"/>
      <w:sz w:val="24"/>
      <w:szCs w:val="24"/>
    </w:rPr>
  </w:style>
  <w:style w:type="paragraph" w:styleId="Ttulo5">
    <w:name w:val="heading 5"/>
    <w:basedOn w:val="Normal"/>
    <w:next w:val="Normal"/>
    <w:qFormat/>
    <w:pPr>
      <w:numPr>
        <w:ilvl w:val="4"/>
        <w:numId w:val="1"/>
      </w:numPr>
      <w:spacing w:after="0" w:line="264" w:lineRule="auto"/>
      <w:outlineLvl w:val="4"/>
    </w:pPr>
    <w:rPr>
      <w:i/>
      <w:iCs/>
      <w:sz w:val="24"/>
      <w:szCs w:val="24"/>
    </w:rPr>
  </w:style>
  <w:style w:type="paragraph" w:styleId="Ttulo6">
    <w:name w:val="heading 6"/>
    <w:basedOn w:val="Normal"/>
    <w:next w:val="Normal"/>
    <w:qFormat/>
    <w:pPr>
      <w:numPr>
        <w:ilvl w:val="5"/>
        <w:numId w:val="1"/>
      </w:numPr>
      <w:shd w:val="clear" w:color="auto" w:fill="FFFFFF"/>
      <w:spacing w:after="0" w:line="264" w:lineRule="auto"/>
      <w:outlineLvl w:val="5"/>
    </w:pPr>
    <w:rPr>
      <w:b/>
      <w:bCs/>
      <w:color w:val="595959"/>
      <w:spacing w:val="5"/>
    </w:rPr>
  </w:style>
  <w:style w:type="paragraph" w:styleId="Ttulo7">
    <w:name w:val="heading 7"/>
    <w:basedOn w:val="Normal"/>
    <w:next w:val="Normal"/>
    <w:qFormat/>
    <w:pPr>
      <w:numPr>
        <w:ilvl w:val="6"/>
        <w:numId w:val="1"/>
      </w:numPr>
      <w:spacing w:after="0"/>
      <w:outlineLvl w:val="6"/>
    </w:pPr>
    <w:rPr>
      <w:b/>
      <w:bCs/>
      <w:i/>
      <w:iCs/>
      <w:color w:val="5A5A5A"/>
      <w:sz w:val="20"/>
      <w:szCs w:val="20"/>
    </w:rPr>
  </w:style>
  <w:style w:type="paragraph" w:styleId="Ttulo8">
    <w:name w:val="heading 8"/>
    <w:basedOn w:val="Normal"/>
    <w:next w:val="Normal"/>
    <w:qFormat/>
    <w:pPr>
      <w:numPr>
        <w:ilvl w:val="7"/>
        <w:numId w:val="1"/>
      </w:numPr>
      <w:spacing w:after="0"/>
      <w:outlineLvl w:val="7"/>
    </w:pPr>
    <w:rPr>
      <w:b/>
      <w:bCs/>
      <w:color w:val="7F7F7F"/>
      <w:sz w:val="20"/>
      <w:szCs w:val="20"/>
    </w:rPr>
  </w:style>
  <w:style w:type="paragraph" w:styleId="Ttulo9">
    <w:name w:val="heading 9"/>
    <w:basedOn w:val="Normal"/>
    <w:next w:val="Normal"/>
    <w:qFormat/>
    <w:pPr>
      <w:numPr>
        <w:ilvl w:val="8"/>
        <w:numId w:val="1"/>
      </w:numPr>
      <w:spacing w:after="0" w:line="264"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berschrift1Zchn">
    <w:name w:val="Überschrift 1 Zchn"/>
    <w:rPr>
      <w:smallCaps/>
      <w:spacing w:val="5"/>
      <w:sz w:val="36"/>
      <w:szCs w:val="36"/>
    </w:rPr>
  </w:style>
  <w:style w:type="character" w:customStyle="1" w:styleId="berschrift2Zchn">
    <w:name w:val="Überschrift 2 Zchn"/>
    <w:rPr>
      <w:smallCaps/>
      <w:sz w:val="28"/>
      <w:szCs w:val="28"/>
    </w:rPr>
  </w:style>
  <w:style w:type="character" w:customStyle="1" w:styleId="berschrift3Zchn">
    <w:name w:val="Überschrift 3 Zchn"/>
    <w:rPr>
      <w:i/>
      <w:iCs/>
      <w:smallCaps/>
      <w:spacing w:val="5"/>
      <w:sz w:val="26"/>
      <w:szCs w:val="26"/>
    </w:rPr>
  </w:style>
  <w:style w:type="character" w:customStyle="1" w:styleId="berschrift4Zchn">
    <w:name w:val="Überschrift 4 Zchn"/>
    <w:rPr>
      <w:b/>
      <w:bCs/>
      <w:spacing w:val="5"/>
      <w:sz w:val="24"/>
      <w:szCs w:val="24"/>
    </w:rPr>
  </w:style>
  <w:style w:type="character" w:customStyle="1" w:styleId="berschrift5Zchn">
    <w:name w:val="Überschrift 5 Zchn"/>
    <w:rPr>
      <w:i/>
      <w:iCs/>
      <w:sz w:val="24"/>
      <w:szCs w:val="24"/>
    </w:rPr>
  </w:style>
  <w:style w:type="character" w:customStyle="1" w:styleId="berschrift6Zchn">
    <w:name w:val="Überschrift 6 Zchn"/>
    <w:rPr>
      <w:b/>
      <w:bCs/>
      <w:color w:val="595959"/>
      <w:spacing w:val="5"/>
      <w:shd w:val="clear" w:color="auto" w:fill="FFFFFF"/>
    </w:rPr>
  </w:style>
  <w:style w:type="character" w:customStyle="1" w:styleId="berschrift7Zchn">
    <w:name w:val="Überschrift 7 Zchn"/>
    <w:rPr>
      <w:b/>
      <w:bCs/>
      <w:i/>
      <w:iCs/>
      <w:color w:val="5A5A5A"/>
      <w:sz w:val="20"/>
      <w:szCs w:val="20"/>
    </w:rPr>
  </w:style>
  <w:style w:type="character" w:customStyle="1" w:styleId="berschrift8Zchn">
    <w:name w:val="Überschrift 8 Zchn"/>
    <w:rPr>
      <w:b/>
      <w:bCs/>
      <w:color w:val="7F7F7F"/>
      <w:sz w:val="20"/>
      <w:szCs w:val="20"/>
    </w:rPr>
  </w:style>
  <w:style w:type="character" w:customStyle="1" w:styleId="berschrift9Zchn">
    <w:name w:val="Überschrift 9 Zchn"/>
    <w:rPr>
      <w:b/>
      <w:bCs/>
      <w:i/>
      <w:iCs/>
      <w:color w:val="7F7F7F"/>
      <w:sz w:val="18"/>
      <w:szCs w:val="18"/>
    </w:rPr>
  </w:style>
  <w:style w:type="character" w:customStyle="1" w:styleId="TitelZchn">
    <w:name w:val="Titel Zchn"/>
    <w:rPr>
      <w:smallCaps/>
      <w:sz w:val="52"/>
      <w:szCs w:val="52"/>
    </w:rPr>
  </w:style>
  <w:style w:type="character" w:customStyle="1" w:styleId="UntertitelZchn">
    <w:name w:val="Untertitel Zchn"/>
    <w:rPr>
      <w:i/>
      <w:iCs/>
      <w:smallCaps/>
      <w:spacing w:val="10"/>
      <w:sz w:val="28"/>
      <w:szCs w:val="28"/>
    </w:rPr>
  </w:style>
  <w:style w:type="character" w:styleId="Textoennegrita">
    <w:name w:val="Strong"/>
    <w:qFormat/>
    <w:rPr>
      <w:b/>
      <w:bCs/>
    </w:rPr>
  </w:style>
  <w:style w:type="character" w:styleId="nfasis">
    <w:name w:val="Emphasis"/>
    <w:qFormat/>
    <w:rPr>
      <w:b/>
      <w:bCs/>
      <w:i/>
      <w:iCs/>
      <w:spacing w:val="10"/>
    </w:rPr>
  </w:style>
  <w:style w:type="character" w:customStyle="1" w:styleId="AnfhrungszeichenZchn">
    <w:name w:val="Anführungszeichen Zchn"/>
    <w:rPr>
      <w:i/>
      <w:iCs/>
    </w:rPr>
  </w:style>
  <w:style w:type="character" w:customStyle="1" w:styleId="IntensivesAnfhrungszeichenZchn">
    <w:name w:val="Intensives Anführungszeichen Zchn"/>
    <w:rPr>
      <w:i/>
      <w:iCs/>
    </w:rPr>
  </w:style>
  <w:style w:type="character" w:customStyle="1" w:styleId="SchwacheHervorhebung">
    <w:name w:val="Schwache Hervorhebung"/>
    <w:rPr>
      <w:i/>
      <w:iCs/>
    </w:rPr>
  </w:style>
  <w:style w:type="character" w:customStyle="1" w:styleId="IntensiveHervorhebung">
    <w:name w:val="Intensive Hervorhebung"/>
    <w:rPr>
      <w:b/>
      <w:bCs/>
      <w:i/>
      <w:iCs/>
    </w:rPr>
  </w:style>
  <w:style w:type="character" w:customStyle="1" w:styleId="SchwacherVerweis">
    <w:name w:val="Schwacher Verweis"/>
    <w:rPr>
      <w:smallCaps/>
    </w:rPr>
  </w:style>
  <w:style w:type="character" w:customStyle="1" w:styleId="IntensiverVerweis">
    <w:name w:val="Intensiver Verweis"/>
    <w:rPr>
      <w:b/>
      <w:bCs/>
      <w:smallCaps/>
    </w:rPr>
  </w:style>
  <w:style w:type="character" w:customStyle="1" w:styleId="Buchtitel">
    <w:name w:val="Buchtitel"/>
    <w:rPr>
      <w:i/>
      <w:iCs/>
      <w:smallCaps/>
      <w:spacing w:val="5"/>
    </w:rPr>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WW-Absatz-Standardschriftart111111111"/>
  </w:style>
  <w:style w:type="character" w:customStyle="1" w:styleId="FuzeileZchn">
    <w:name w:val="Fußzeile Zchn"/>
    <w:basedOn w:val="WW-Absatz-Standardschriftart111111111"/>
  </w:style>
  <w:style w:type="character" w:styleId="Hipervnculo">
    <w:name w:val="Hyperlink"/>
    <w:rPr>
      <w:color w:val="0000FF"/>
      <w:u w:val="single"/>
    </w:rPr>
  </w:style>
  <w:style w:type="character" w:customStyle="1" w:styleId="WW-Absatz-Standardschriftart1111111111">
    <w:name w:val="WW-Absatz-Standardschriftart1111111111"/>
  </w:style>
  <w:style w:type="character" w:customStyle="1" w:styleId="Kommentarzeichen1">
    <w:name w:val="Kommentarzeichen1"/>
    <w:rPr>
      <w:sz w:val="16"/>
      <w:szCs w:val="16"/>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Kommentarzeichen2">
    <w:name w:val="Kommentarzeichen2"/>
    <w:rPr>
      <w:sz w:val="16"/>
      <w:szCs w:val="16"/>
    </w:rPr>
  </w:style>
  <w:style w:type="character" w:customStyle="1" w:styleId="KommentartextZchn">
    <w:name w:val="Kommentartext Zchn"/>
    <w:rPr>
      <w:rFonts w:ascii="Verdana" w:eastAsia="Verdana" w:hAnsi="Verdana" w:cs="Verdana"/>
      <w:lang w:val="en-US" w:eastAsia="en-US" w:bidi="en-US"/>
    </w:rPr>
  </w:style>
  <w:style w:type="character" w:customStyle="1" w:styleId="KommentarthemaZchn">
    <w:name w:val="Kommentarthema Zchn"/>
    <w:rPr>
      <w:rFonts w:ascii="Verdana" w:eastAsia="Verdana" w:hAnsi="Verdana" w:cs="Verdana"/>
      <w:b/>
      <w:bCs/>
      <w:lang w:val="en-US" w:eastAsia="en-US" w:bidi="en-US"/>
    </w:rPr>
  </w:style>
  <w:style w:type="character" w:customStyle="1" w:styleId="Kommentarzeichen">
    <w:name w:val="Kommentarzeichen"/>
    <w:rPr>
      <w:sz w:val="16"/>
      <w:szCs w:val="16"/>
    </w:rPr>
  </w:style>
  <w:style w:type="character" w:customStyle="1" w:styleId="KommentartextZchn1">
    <w:name w:val="Kommentartext Zchn1"/>
    <w:rPr>
      <w:rFonts w:ascii="Verdana" w:eastAsia="Verdana" w:hAnsi="Verdana" w:cs="Verdana"/>
      <w:lang w:val="en-US" w:eastAsia="en-US" w:bidi="en-US"/>
    </w:rPr>
  </w:style>
  <w:style w:type="character" w:customStyle="1" w:styleId="Aufzhlungszeichen">
    <w:name w:val="Aufzählungszeichen"/>
    <w:rPr>
      <w:rFonts w:ascii="OpenSymbol" w:eastAsia="OpenSymbol" w:hAnsi="OpenSymbol" w:cs="OpenSymbol"/>
    </w:rPr>
  </w:style>
  <w:style w:type="paragraph" w:customStyle="1" w:styleId="berschrift">
    <w:name w:val="Überschrift"/>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Beschriftung">
    <w:name w:val="Beschriftung"/>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styleId="Ttulo">
    <w:name w:val="Title"/>
    <w:basedOn w:val="Normal"/>
    <w:next w:val="Normal"/>
    <w:qFormat/>
    <w:pPr>
      <w:spacing w:after="300" w:line="100" w:lineRule="atLeast"/>
    </w:pPr>
    <w:rPr>
      <w:smallCaps/>
      <w:sz w:val="52"/>
      <w:szCs w:val="52"/>
    </w:rPr>
  </w:style>
  <w:style w:type="paragraph" w:styleId="Subttulo">
    <w:name w:val="Subtitle"/>
    <w:basedOn w:val="Normal"/>
    <w:next w:val="Normal"/>
    <w:qFormat/>
    <w:rPr>
      <w:i/>
      <w:iCs/>
      <w:smallCaps/>
      <w:spacing w:val="10"/>
      <w:sz w:val="28"/>
      <w:szCs w:val="28"/>
    </w:rPr>
  </w:style>
  <w:style w:type="paragraph" w:customStyle="1" w:styleId="KeinLeerraum">
    <w:name w:val="Kein Leerraum"/>
    <w:basedOn w:val="Normal"/>
    <w:pPr>
      <w:spacing w:after="0" w:line="100" w:lineRule="atLeast"/>
    </w:pPr>
  </w:style>
  <w:style w:type="paragraph" w:customStyle="1" w:styleId="Listenabsatz">
    <w:name w:val="Listenabsatz"/>
    <w:basedOn w:val="Normal"/>
    <w:pPr>
      <w:spacing w:after="0"/>
      <w:ind w:left="720"/>
    </w:pPr>
  </w:style>
  <w:style w:type="paragraph" w:customStyle="1" w:styleId="Anfhrungszeichen">
    <w:name w:val="Anführungszeichen"/>
    <w:basedOn w:val="Normal"/>
    <w:next w:val="Normal"/>
    <w:rPr>
      <w:i/>
      <w:iCs/>
    </w:rPr>
  </w:style>
  <w:style w:type="paragraph" w:customStyle="1" w:styleId="IntensivesAnfhrungszeichen">
    <w:name w:val="Intensives Anführungszeichen"/>
    <w:basedOn w:val="Normal"/>
    <w:next w:val="Normal"/>
    <w:pPr>
      <w:spacing w:before="240" w:after="240" w:line="300" w:lineRule="auto"/>
      <w:ind w:left="1152" w:right="1152"/>
      <w:jc w:val="both"/>
    </w:pPr>
    <w:rPr>
      <w:i/>
      <w:iCs/>
    </w:rPr>
  </w:style>
  <w:style w:type="paragraph" w:customStyle="1" w:styleId="Inhaltsverzeichnisberschrift">
    <w:name w:val="Inhaltsverzeichnisüberschrift"/>
    <w:basedOn w:val="Ttulo1"/>
    <w:next w:val="Normal"/>
    <w:pPr>
      <w:numPr>
        <w:numId w:val="0"/>
      </w:numPr>
      <w:spacing w:before="0"/>
    </w:pPr>
  </w:style>
  <w:style w:type="paragraph" w:customStyle="1" w:styleId="Sprechblasentext">
    <w:name w:val="Sprechblasentext"/>
    <w:basedOn w:val="Normal"/>
    <w:pPr>
      <w:spacing w:after="0" w:line="100" w:lineRule="atLeast"/>
    </w:pPr>
    <w:rPr>
      <w:rFonts w:ascii="Tahoma" w:hAnsi="Tahoma" w:cs="Tahoma"/>
      <w:sz w:val="16"/>
      <w:szCs w:val="16"/>
    </w:rPr>
  </w:style>
  <w:style w:type="paragraph" w:styleId="Encabezado">
    <w:name w:val="header"/>
    <w:basedOn w:val="Normal"/>
    <w:pPr>
      <w:tabs>
        <w:tab w:val="center" w:pos="4536"/>
        <w:tab w:val="right" w:pos="9072"/>
      </w:tabs>
      <w:spacing w:after="0" w:line="100" w:lineRule="atLeast"/>
    </w:pPr>
  </w:style>
  <w:style w:type="paragraph" w:styleId="Piedepgina">
    <w:name w:val="footer"/>
    <w:basedOn w:val="Normal"/>
    <w:pPr>
      <w:tabs>
        <w:tab w:val="center" w:pos="4536"/>
        <w:tab w:val="right" w:pos="9072"/>
      </w:tabs>
      <w:spacing w:after="0" w:line="100" w:lineRule="atLeast"/>
    </w:pPr>
  </w:style>
  <w:style w:type="paragraph" w:customStyle="1" w:styleId="VorformatierterText">
    <w:name w:val="Vorformatierter Text"/>
    <w:basedOn w:val="Normal"/>
    <w:pPr>
      <w:spacing w:after="0"/>
    </w:pPr>
    <w:rPr>
      <w:rFonts w:ascii="Courier New" w:eastAsia="NSimSun" w:hAnsi="Courier New" w:cs="Courier New"/>
      <w:sz w:val="20"/>
      <w:szCs w:val="20"/>
    </w:rPr>
  </w:style>
  <w:style w:type="paragraph" w:customStyle="1" w:styleId="TabellenInhalt">
    <w:name w:val="Tabellen Inhalt"/>
    <w:basedOn w:val="Normal"/>
    <w:pPr>
      <w:suppressLineNumbers/>
    </w:pPr>
  </w:style>
  <w:style w:type="paragraph" w:customStyle="1" w:styleId="Rahmeninhalt">
    <w:name w:val="Rahmeninhalt"/>
    <w:basedOn w:val="Textoindependiente"/>
  </w:style>
  <w:style w:type="paragraph" w:customStyle="1" w:styleId="Kommentartext1">
    <w:name w:val="Kommentartext1"/>
    <w:basedOn w:val="Normal"/>
    <w:rPr>
      <w:sz w:val="20"/>
      <w:szCs w:val="20"/>
    </w:rPr>
  </w:style>
  <w:style w:type="paragraph" w:customStyle="1" w:styleId="Kommentarthema">
    <w:name w:val="Kommentarthema"/>
    <w:basedOn w:val="Kommentartext1"/>
    <w:next w:val="Kommentartext1"/>
    <w:rPr>
      <w:b/>
      <w:bCs/>
    </w:rPr>
  </w:style>
  <w:style w:type="paragraph" w:customStyle="1" w:styleId="Kommentartext">
    <w:name w:val="Kommentartext"/>
    <w:basedOn w:val="Normal"/>
    <w:rPr>
      <w:sz w:val="20"/>
      <w:szCs w:val="20"/>
    </w:rPr>
  </w:style>
  <w:style w:type="paragraph" w:customStyle="1" w:styleId="berarbeitung">
    <w:name w:val="Überarbeitung"/>
    <w:pPr>
      <w:suppressAutoHyphens/>
    </w:pPr>
    <w:rPr>
      <w:rFonts w:ascii="Verdana" w:eastAsia="Verdana" w:hAnsi="Verdana" w:cs="Verdan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8097</Characters>
  <Application>Microsoft Office Word</Application>
  <DocSecurity>0</DocSecurity>
  <Lines>67</Lines>
  <Paragraphs>18</Paragraphs>
  <ScaleCrop>false</ScaleCrop>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 e V</dc:creator>
  <cp:lastModifiedBy>hil</cp:lastModifiedBy>
  <cp:revision>2</cp:revision>
  <cp:lastPrinted>2013-04-08T04:50:00Z</cp:lastPrinted>
  <dcterms:created xsi:type="dcterms:W3CDTF">2013-04-13T02:59:00Z</dcterms:created>
  <dcterms:modified xsi:type="dcterms:W3CDTF">2013-04-13T02:59:00Z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-802149256</vt:i4>
  </property>
  <property fmtid="{D5CDD505-2E9C-101B-9397-08002B2CF9AE}" pid="3" name="_EmailSubject">
    <vt:lpwstr>für InfoPeru</vt:lpwstr>
  </property>
  <property fmtid="{D5CDD505-2E9C-101B-9397-08002B2CF9AE}" pid="4" name="_AuthorEmail">
    <vt:lpwstr>merk@infostelle-peru.de</vt:lpwstr>
  </property>
  <property fmtid="{D5CDD505-2E9C-101B-9397-08002B2CF9AE}" pid="5" name="_AuthorEmailDisplayName">
    <vt:lpwstr>Bernhard Jimi Merk</vt:lpwstr>
  </property>
  <property fmtid="{D5CDD505-2E9C-101B-9397-08002B2CF9AE}" pid="6" name="_ReviewingToolsShownOnce">
    <vt:lpwstr/>
  </property>
</Properties>
</file>