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D2402">
      <w:pPr>
        <w:spacing w:after="60"/>
        <w:jc w:val="right"/>
        <w:rPr>
          <w:sz w:val="20"/>
          <w:szCs w:val="20"/>
          <w:lang w:val="de-DE" w:eastAsia="ar-SA" w:bidi="ar-SA"/>
        </w:rPr>
      </w:pPr>
      <w:r>
        <w:pict>
          <v:shapetype id="_x0000_t202" coordsize="21600,21600" o:spt="202" path="m,l,21600r21600,l21600,xe">
            <v:stroke joinstyle="miter"/>
            <v:path gradientshapeok="t" o:connecttype="rect"/>
          </v:shapetype>
          <v:shape id="_x0000_s1026" type="#_x0000_t202" style="position:absolute;left:0;text-align:left;margin-left:56.7pt;margin-top:153.05pt;width:198.1pt;height:84.7pt;z-index:1;mso-wrap-distance-left:5.7pt;mso-wrap-distance-top:5.7pt;mso-wrap-distance-right:5.7pt;mso-wrap-distance-bottom:5.7pt;mso-position-horizontal-relative:page;mso-position-vertical-relative:page" stroked="f">
            <v:fill color2="black"/>
            <v:textbox inset="0,0,0,0">
              <w:txbxContent>
                <w:p w:rsidR="00000000" w:rsidRDefault="00DD2402">
                  <w:pPr>
                    <w:spacing w:after="0"/>
                    <w:jc w:val="center"/>
                    <w:rPr>
                      <w:sz w:val="16"/>
                      <w:szCs w:val="16"/>
                      <w:u w:val="single"/>
                      <w:lang w:val="de-DE"/>
                    </w:rPr>
                  </w:pPr>
                </w:p>
                <w:p w:rsidR="00000000" w:rsidRDefault="00DD2402">
                  <w:pPr>
                    <w:pStyle w:val="Textoindependiente"/>
                    <w:snapToGrid w:val="0"/>
                    <w:spacing w:after="0" w:line="200" w:lineRule="atLeast"/>
                    <w:rPr>
                      <w:rFonts w:ascii="DejaVu Sans" w:hAnsi="DejaVu Sans" w:cs="DejaVu Sans"/>
                      <w:color w:val="000000"/>
                      <w:sz w:val="24"/>
                      <w:szCs w:val="24"/>
                      <w:lang w:val="de-DE"/>
                    </w:rPr>
                  </w:pPr>
                  <w:r>
                    <w:rPr>
                      <w:rFonts w:ascii="DejaVu Sans" w:hAnsi="DejaVu Sans" w:cs="DejaVu Sans"/>
                      <w:color w:val="000000"/>
                      <w:sz w:val="24"/>
                      <w:szCs w:val="24"/>
                      <w:lang w:val="de-DE"/>
                    </w:rPr>
                    <w:t xml:space="preserve">Alle Abgeordneten des </w:t>
                  </w:r>
                </w:p>
                <w:p w:rsidR="00000000" w:rsidRDefault="00DD2402">
                  <w:pPr>
                    <w:pStyle w:val="Textoindependiente"/>
                    <w:snapToGrid w:val="0"/>
                    <w:spacing w:after="0" w:line="200" w:lineRule="atLeast"/>
                    <w:rPr>
                      <w:rFonts w:ascii="DejaVu Sans" w:hAnsi="DejaVu Sans" w:cs="DejaVu Sans"/>
                      <w:color w:val="000000"/>
                      <w:sz w:val="24"/>
                      <w:szCs w:val="24"/>
                      <w:lang w:val="de-DE"/>
                    </w:rPr>
                  </w:pPr>
                  <w:r>
                    <w:rPr>
                      <w:rFonts w:ascii="DejaVu Sans" w:hAnsi="DejaVu Sans" w:cs="DejaVu Sans"/>
                      <w:color w:val="000000"/>
                      <w:sz w:val="24"/>
                      <w:szCs w:val="24"/>
                      <w:lang w:val="de-DE"/>
                    </w:rPr>
                    <w:t>Deutschen Bundestags</w:t>
                  </w:r>
                </w:p>
                <w:p w:rsidR="00000000" w:rsidRDefault="00DD2402">
                  <w:pPr>
                    <w:pStyle w:val="Textoindependiente"/>
                    <w:snapToGrid w:val="0"/>
                    <w:spacing w:after="0" w:line="200" w:lineRule="atLeast"/>
                    <w:rPr>
                      <w:rFonts w:ascii="DejaVu Sans" w:hAnsi="DejaVu Sans" w:cs="DejaVu Sans"/>
                      <w:color w:val="000000"/>
                      <w:sz w:val="24"/>
                      <w:szCs w:val="24"/>
                      <w:lang w:val="de-DE"/>
                    </w:rPr>
                  </w:pPr>
                  <w:r>
                    <w:rPr>
                      <w:rFonts w:ascii="DejaVu Sans" w:hAnsi="DejaVu Sans" w:cs="DejaVu Sans"/>
                      <w:color w:val="000000"/>
                      <w:sz w:val="24"/>
                      <w:szCs w:val="24"/>
                      <w:lang w:val="de-DE"/>
                    </w:rPr>
                    <w:t>Platz der Republik 1</w:t>
                  </w:r>
                </w:p>
                <w:p w:rsidR="00000000" w:rsidRDefault="00DD2402">
                  <w:pPr>
                    <w:pStyle w:val="Textoindependiente"/>
                    <w:snapToGrid w:val="0"/>
                    <w:spacing w:after="0" w:line="200" w:lineRule="atLeast"/>
                    <w:rPr>
                      <w:rFonts w:ascii="DejaVu Sans" w:hAnsi="DejaVu Sans" w:cs="DejaVu Sans"/>
                      <w:color w:val="000000"/>
                      <w:sz w:val="24"/>
                      <w:szCs w:val="24"/>
                      <w:lang w:val="de-DE"/>
                    </w:rPr>
                  </w:pPr>
                </w:p>
                <w:p w:rsidR="00000000" w:rsidRDefault="00DD2402">
                  <w:pPr>
                    <w:pStyle w:val="Textoindependiente"/>
                    <w:snapToGrid w:val="0"/>
                    <w:spacing w:after="0" w:line="200" w:lineRule="atLeast"/>
                    <w:rPr>
                      <w:rFonts w:ascii="Courier 10 Pitch" w:hAnsi="Courier 10 Pitch" w:cs="Courier 10 Pitch"/>
                      <w:sz w:val="24"/>
                      <w:lang w:val="de-DE"/>
                    </w:rPr>
                  </w:pPr>
                  <w:r>
                    <w:rPr>
                      <w:rFonts w:ascii="DejaVu Sans" w:hAnsi="DejaVu Sans" w:cs="DejaVu Sans"/>
                      <w:color w:val="000000"/>
                      <w:sz w:val="24"/>
                      <w:szCs w:val="24"/>
                      <w:lang w:val="de-DE"/>
                    </w:rPr>
                    <w:t>11011 Berlin</w:t>
                  </w:r>
                </w:p>
                <w:p w:rsidR="00000000" w:rsidRDefault="00DD2402">
                  <w:pPr>
                    <w:spacing w:after="0"/>
                    <w:jc w:val="center"/>
                    <w:rPr>
                      <w:rFonts w:ascii="Courier 10 Pitch" w:hAnsi="Courier 10 Pitch" w:cs="Courier 10 Pitch"/>
                      <w:sz w:val="24"/>
                      <w:lang w:val="de-DE"/>
                    </w:rPr>
                  </w:pPr>
                </w:p>
              </w:txbxContent>
            </v:textbox>
          </v:shape>
        </w:pict>
      </w:r>
    </w:p>
    <w:p w:rsidR="00000000" w:rsidRDefault="00DD2402">
      <w:pPr>
        <w:spacing w:after="60"/>
        <w:rPr>
          <w:sz w:val="18"/>
          <w:szCs w:val="18"/>
          <w:u w:val="single"/>
          <w:lang w:val="de-DE"/>
        </w:rPr>
      </w:pPr>
    </w:p>
    <w:p w:rsidR="00000000" w:rsidRDefault="00DD2402">
      <w:pPr>
        <w:spacing w:after="60"/>
        <w:rPr>
          <w:sz w:val="20"/>
          <w:szCs w:val="20"/>
          <w:u w:val="single"/>
          <w:lang w:val="de-DE"/>
        </w:rPr>
      </w:pPr>
    </w:p>
    <w:p w:rsidR="00000000" w:rsidRDefault="00DD2402">
      <w:pPr>
        <w:rPr>
          <w:rFonts w:eastAsia="Times New Roman"/>
          <w:sz w:val="20"/>
          <w:szCs w:val="20"/>
          <w:lang w:val="de-DE" w:eastAsia="ar-SA" w:bidi="ar-SA"/>
        </w:rPr>
      </w:pPr>
      <w:r>
        <w:rPr>
          <w:rFonts w:eastAsia="Times New Roman"/>
          <w:sz w:val="20"/>
          <w:szCs w:val="20"/>
          <w:lang w:val="de-DE" w:eastAsia="ar-SA" w:bidi="ar-SA"/>
        </w:rPr>
        <w:br/>
      </w:r>
    </w:p>
    <w:p w:rsidR="00000000" w:rsidRDefault="00DD2402">
      <w:pPr>
        <w:rPr>
          <w:rFonts w:eastAsia="Times New Roman"/>
          <w:sz w:val="20"/>
          <w:szCs w:val="20"/>
          <w:lang w:val="de-DE" w:eastAsia="ar-SA" w:bidi="ar-SA"/>
        </w:rPr>
      </w:pPr>
    </w:p>
    <w:p w:rsidR="00000000" w:rsidRDefault="00DD2402">
      <w:pPr>
        <w:rPr>
          <w:rFonts w:eastAsia="Times New Roman"/>
          <w:sz w:val="20"/>
          <w:szCs w:val="20"/>
          <w:lang w:val="de-DE" w:eastAsia="ar-SA" w:bidi="ar-SA"/>
        </w:rPr>
      </w:pPr>
    </w:p>
    <w:p w:rsidR="00000000" w:rsidRDefault="00DD2402">
      <w:pPr>
        <w:rPr>
          <w:rFonts w:eastAsia="Times New Roman"/>
          <w:sz w:val="20"/>
          <w:szCs w:val="20"/>
          <w:lang w:val="de-DE" w:eastAsia="ar-SA" w:bidi="ar-SA"/>
        </w:rPr>
      </w:pPr>
    </w:p>
    <w:p w:rsidR="00000000" w:rsidRDefault="00DD2402">
      <w:pPr>
        <w:rPr>
          <w:sz w:val="20"/>
          <w:szCs w:val="20"/>
          <w:u w:val="single"/>
          <w:lang w:val="de-DE"/>
        </w:rPr>
      </w:pPr>
    </w:p>
    <w:p w:rsidR="00000000" w:rsidRDefault="00DD2402">
      <w:pPr>
        <w:pStyle w:val="Textoindependiente"/>
        <w:snapToGrid w:val="0"/>
        <w:spacing w:after="0" w:line="200" w:lineRule="atLeast"/>
        <w:jc w:val="right"/>
        <w:rPr>
          <w:rFonts w:ascii="DejaVu Sans" w:hAnsi="DejaVu Sans" w:cs="DejaVu Sans"/>
          <w:color w:val="000000"/>
          <w:sz w:val="24"/>
          <w:szCs w:val="24"/>
          <w:lang w:val="de-DE"/>
        </w:rPr>
      </w:pPr>
      <w:r>
        <w:rPr>
          <w:rFonts w:ascii="DejaVu Sans" w:hAnsi="DejaVu Sans" w:cs="DejaVu Sans"/>
          <w:color w:val="000000"/>
          <w:sz w:val="24"/>
          <w:szCs w:val="24"/>
          <w:lang w:val="de-DE"/>
        </w:rPr>
        <w:t xml:space="preserve">Berlin, </w:t>
      </w:r>
      <w:r>
        <w:rPr>
          <w:rFonts w:ascii="DejaVu Sans" w:hAnsi="DejaVu Sans" w:cs="DejaVu Sans"/>
          <w:color w:val="000000"/>
          <w:sz w:val="24"/>
          <w:szCs w:val="24"/>
          <w:shd w:val="clear" w:color="auto" w:fill="FFFF00"/>
          <w:lang w:val="de-DE"/>
        </w:rPr>
        <w:t>18.</w:t>
      </w:r>
      <w:r>
        <w:rPr>
          <w:rFonts w:ascii="DejaVu Sans" w:hAnsi="DejaVu Sans" w:cs="DejaVu Sans"/>
          <w:color w:val="000000"/>
          <w:sz w:val="24"/>
          <w:szCs w:val="24"/>
          <w:lang w:val="de-DE"/>
        </w:rPr>
        <w:t xml:space="preserve"> Februar 2013</w:t>
      </w:r>
    </w:p>
    <w:p w:rsidR="00000000" w:rsidRDefault="00DD2402">
      <w:pPr>
        <w:pStyle w:val="Textoindependiente"/>
        <w:spacing w:after="0" w:line="200" w:lineRule="atLeast"/>
        <w:jc w:val="right"/>
        <w:rPr>
          <w:rFonts w:ascii="DejaVu Sans" w:hAnsi="DejaVu Sans" w:cs="DejaVu Sans"/>
          <w:color w:val="000000"/>
          <w:sz w:val="24"/>
          <w:szCs w:val="24"/>
          <w:lang w:val="de-DE"/>
        </w:rPr>
      </w:pPr>
    </w:p>
    <w:p w:rsidR="00000000" w:rsidRDefault="00DD2402">
      <w:pPr>
        <w:pStyle w:val="Textoindependiente"/>
        <w:snapToGrid w:val="0"/>
        <w:spacing w:after="0" w:line="200" w:lineRule="atLeast"/>
        <w:jc w:val="right"/>
        <w:rPr>
          <w:rFonts w:ascii="DejaVu Sans" w:hAnsi="DejaVu Sans" w:cs="DejaVu Sans"/>
          <w:color w:val="000000"/>
          <w:sz w:val="24"/>
          <w:szCs w:val="24"/>
          <w:lang w:val="de-DE"/>
        </w:rPr>
      </w:pPr>
    </w:p>
    <w:p w:rsidR="00000000" w:rsidRDefault="00DD2402">
      <w:pPr>
        <w:snapToGrid w:val="0"/>
        <w:spacing w:line="200" w:lineRule="atLeast"/>
        <w:rPr>
          <w:sz w:val="24"/>
          <w:szCs w:val="24"/>
          <w:u w:val="single"/>
          <w:lang w:val="de-DE"/>
        </w:rPr>
      </w:pPr>
    </w:p>
    <w:p w:rsidR="00000000" w:rsidRDefault="00DD2402">
      <w:pPr>
        <w:snapToGrid w:val="0"/>
        <w:spacing w:line="200" w:lineRule="atLeast"/>
        <w:rPr>
          <w:sz w:val="24"/>
          <w:szCs w:val="24"/>
          <w:u w:val="single"/>
          <w:lang w:val="de-DE"/>
        </w:rPr>
      </w:pPr>
    </w:p>
    <w:p w:rsidR="00000000" w:rsidRDefault="00DD2402">
      <w:pPr>
        <w:snapToGrid w:val="0"/>
        <w:spacing w:line="200" w:lineRule="atLeast"/>
        <w:rPr>
          <w:rFonts w:ascii="DejaVu Sans" w:hAnsi="DejaVu Sans" w:cs="DejaVu Sans"/>
          <w:b/>
          <w:bCs/>
          <w:i/>
          <w:iCs/>
          <w:color w:val="000000"/>
          <w:sz w:val="24"/>
          <w:szCs w:val="24"/>
          <w:u w:val="single"/>
          <w:shd w:val="clear" w:color="auto" w:fill="FFFF00"/>
          <w:lang w:val="de-DE"/>
        </w:rPr>
      </w:pPr>
    </w:p>
    <w:p w:rsidR="00000000" w:rsidRDefault="00DD2402">
      <w:pPr>
        <w:spacing w:line="200" w:lineRule="atLeast"/>
        <w:rPr>
          <w:rFonts w:ascii="DejaVu Sans" w:hAnsi="DejaVu Sans" w:cs="DejaVu Sans"/>
          <w:b/>
          <w:bCs/>
          <w:color w:val="000000"/>
          <w:sz w:val="24"/>
          <w:szCs w:val="24"/>
          <w:lang w:val="de-DE"/>
        </w:rPr>
      </w:pPr>
      <w:r>
        <w:rPr>
          <w:rFonts w:ascii="DejaVu Sans" w:hAnsi="DejaVu Sans" w:cs="DejaVu Sans"/>
          <w:b/>
          <w:bCs/>
          <w:color w:val="000000"/>
          <w:sz w:val="24"/>
          <w:szCs w:val="24"/>
          <w:lang w:val="de-DE"/>
        </w:rPr>
        <w:t xml:space="preserve">Das Freihandelsabkommen der EU mit Peru und Kolumbien wird die menschenrechtlichen, sozialen und ökologischen Probleme verschärfen. </w:t>
      </w:r>
    </w:p>
    <w:p w:rsidR="00000000" w:rsidRDefault="00DD2402">
      <w:pPr>
        <w:spacing w:line="200" w:lineRule="atLeast"/>
        <w:rPr>
          <w:rFonts w:ascii="DejaVu Sans" w:hAnsi="DejaVu Sans" w:cs="DejaVu Sans"/>
          <w:sz w:val="24"/>
          <w:szCs w:val="24"/>
          <w:lang w:val="de-DE"/>
        </w:rPr>
      </w:pPr>
      <w:r>
        <w:rPr>
          <w:rFonts w:ascii="DejaVu Sans" w:hAnsi="DejaVu Sans" w:cs="DejaVu Sans"/>
          <w:b/>
          <w:bCs/>
          <w:color w:val="000000"/>
          <w:sz w:val="24"/>
          <w:szCs w:val="24"/>
          <w:lang w:val="de-DE"/>
        </w:rPr>
        <w:t>Nein zur Ratifizierung des Freihandelsabkommens</w:t>
      </w:r>
    </w:p>
    <w:p w:rsidR="00000000" w:rsidRDefault="00DD2402">
      <w:pPr>
        <w:spacing w:line="200" w:lineRule="atLeast"/>
        <w:rPr>
          <w:rFonts w:ascii="DejaVu Sans" w:hAnsi="DejaVu Sans" w:cs="DejaVu Sans"/>
          <w:sz w:val="24"/>
          <w:szCs w:val="24"/>
          <w:lang w:val="de-DE"/>
        </w:rPr>
      </w:pPr>
    </w:p>
    <w:p w:rsidR="00000000" w:rsidRDefault="00DD2402">
      <w:pPr>
        <w:spacing w:line="200" w:lineRule="atLeast"/>
        <w:rPr>
          <w:rFonts w:ascii="DejaVu Sans" w:hAnsi="DejaVu Sans" w:cs="DejaVu Sans"/>
          <w:sz w:val="23"/>
          <w:szCs w:val="23"/>
          <w:lang w:val="de-DE"/>
        </w:rPr>
      </w:pPr>
      <w:r>
        <w:rPr>
          <w:rFonts w:ascii="DejaVu Sans" w:hAnsi="DejaVu Sans" w:cs="DejaVu Sans"/>
          <w:sz w:val="23"/>
          <w:szCs w:val="23"/>
          <w:lang w:val="de-DE"/>
        </w:rPr>
        <w:t>Sehr geehrte Damen und Herren Abge</w:t>
      </w:r>
      <w:r>
        <w:rPr>
          <w:rFonts w:ascii="DejaVu Sans" w:hAnsi="DejaVu Sans" w:cs="DejaVu Sans"/>
          <w:sz w:val="23"/>
          <w:szCs w:val="23"/>
          <w:lang w:val="de-DE"/>
        </w:rPr>
        <w:t>ordnete des Deutschen Bundestags,</w:t>
      </w: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im Februar wird das Begleitgesetz zum Freihandelsabkommen der EU mit Peru und Kolumbien dem deutschen Bundestag zur Ratifizierung vorge</w:t>
      </w:r>
      <w:r>
        <w:rPr>
          <w:rFonts w:ascii="DejaVu Sans" w:hAnsi="DejaVu Sans" w:cs="DejaVu Sans"/>
          <w:sz w:val="23"/>
          <w:szCs w:val="23"/>
          <w:lang w:val="de-DE"/>
        </w:rPr>
        <w:softHyphen/>
        <w:t xml:space="preserve">legt. </w:t>
      </w:r>
      <w:r>
        <w:rPr>
          <w:rFonts w:ascii="DejaVu Sans" w:hAnsi="DejaVu Sans" w:cs="DejaVu Sans"/>
          <w:sz w:val="23"/>
          <w:szCs w:val="23"/>
          <w:shd w:val="clear" w:color="auto" w:fill="FFFF00"/>
          <w:lang w:val="de-DE"/>
        </w:rPr>
        <w:t>Die unterzeich</w:t>
      </w:r>
      <w:r>
        <w:rPr>
          <w:rFonts w:ascii="DejaVu Sans" w:hAnsi="DejaVu Sans" w:cs="DejaVu Sans"/>
          <w:sz w:val="23"/>
          <w:szCs w:val="23"/>
          <w:shd w:val="clear" w:color="auto" w:fill="FFFF00"/>
          <w:lang w:val="de-DE"/>
        </w:rPr>
        <w:softHyphen/>
        <w:t>nenden Organisationen</w:t>
      </w:r>
      <w:r>
        <w:rPr>
          <w:rFonts w:ascii="DejaVu Sans" w:hAnsi="DejaVu Sans" w:cs="DejaVu Sans"/>
          <w:sz w:val="23"/>
          <w:szCs w:val="23"/>
          <w:lang w:val="de-DE"/>
        </w:rPr>
        <w:t xml:space="preserve"> haben Grund zur Sorge, dass dieses Abkommen</w:t>
      </w:r>
      <w:r>
        <w:rPr>
          <w:rFonts w:ascii="DejaVu Sans" w:hAnsi="DejaVu Sans" w:cs="DejaVu Sans"/>
          <w:sz w:val="23"/>
          <w:szCs w:val="23"/>
          <w:lang w:val="de-DE"/>
        </w:rPr>
        <w:t xml:space="preserve"> die menschenrechtlichen, sozialen und ökologischen Probleme in Peru und Kolumbien verschärfen wird.</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Im internen bewaffneten Konflikt in Kolumbien wurden bislang etwa vier Millionen Menschen vertrieben und mehr als 16.000 Personen gelten als zwangsweise V</w:t>
      </w:r>
      <w:r>
        <w:rPr>
          <w:rFonts w:ascii="DejaVu Sans" w:hAnsi="DejaVu Sans" w:cs="DejaVu Sans"/>
          <w:sz w:val="23"/>
          <w:szCs w:val="23"/>
          <w:lang w:val="de-DE"/>
        </w:rPr>
        <w:t>erschwundene. Allein 2011 wurden 34 Gewerkschaf</w:t>
      </w:r>
      <w:r>
        <w:rPr>
          <w:rFonts w:ascii="DejaVu Sans" w:hAnsi="DejaVu Sans" w:cs="DejaVu Sans"/>
          <w:sz w:val="23"/>
          <w:szCs w:val="23"/>
          <w:lang w:val="de-DE"/>
        </w:rPr>
        <w:softHyphen/>
        <w:t>terInnen ermordet. Das Handelsabkommen enthält keine verbindlichen Rege</w:t>
      </w:r>
      <w:r>
        <w:rPr>
          <w:rFonts w:ascii="DejaVu Sans" w:hAnsi="DejaVu Sans" w:cs="DejaVu Sans"/>
          <w:sz w:val="23"/>
          <w:szCs w:val="23"/>
          <w:lang w:val="de-DE"/>
        </w:rPr>
        <w:softHyphen/>
        <w:t>lungen für die Einhaltung der Menschenrechte, es wird zudem jene Sekto</w:t>
      </w:r>
      <w:r>
        <w:rPr>
          <w:rFonts w:ascii="DejaVu Sans" w:hAnsi="DejaVu Sans" w:cs="DejaVu Sans"/>
          <w:sz w:val="23"/>
          <w:szCs w:val="23"/>
          <w:lang w:val="de-DE"/>
        </w:rPr>
        <w:softHyphen/>
        <w:t>ren in Kolumbien dynamisieren, die für die massiven Vertreibungen</w:t>
      </w:r>
      <w:r>
        <w:rPr>
          <w:rFonts w:ascii="DejaVu Sans" w:hAnsi="DejaVu Sans" w:cs="DejaVu Sans"/>
          <w:sz w:val="23"/>
          <w:szCs w:val="23"/>
          <w:lang w:val="de-DE"/>
        </w:rPr>
        <w:t xml:space="preserve"> mit</w:t>
      </w:r>
      <w:r>
        <w:rPr>
          <w:rFonts w:ascii="DejaVu Sans" w:hAnsi="DejaVu Sans" w:cs="DejaVu Sans"/>
          <w:sz w:val="23"/>
          <w:szCs w:val="23"/>
          <w:lang w:val="de-DE"/>
        </w:rPr>
        <w:softHyphen/>
        <w:t>verantwortlich sind, wie etwa Bergbau, Agro</w:t>
      </w:r>
      <w:r>
        <w:rPr>
          <w:rFonts w:ascii="DejaVu Sans" w:hAnsi="DejaVu Sans" w:cs="DejaVu Sans"/>
          <w:sz w:val="23"/>
          <w:szCs w:val="23"/>
          <w:lang w:val="de-DE"/>
        </w:rPr>
        <w:softHyphen/>
        <w:t>business und Infrastruktur</w:t>
      </w:r>
      <w:r>
        <w:rPr>
          <w:rFonts w:ascii="DejaVu Sans" w:hAnsi="DejaVu Sans" w:cs="DejaVu Sans"/>
          <w:sz w:val="23"/>
          <w:szCs w:val="23"/>
          <w:lang w:val="de-DE"/>
        </w:rPr>
        <w:softHyphen/>
        <w:t>projekte. Dies sind auch die prioritären Sektoren des nationalen Entwick</w:t>
      </w:r>
      <w:r>
        <w:rPr>
          <w:rFonts w:ascii="DejaVu Sans" w:hAnsi="DejaVu Sans" w:cs="DejaVu Sans"/>
          <w:sz w:val="23"/>
          <w:szCs w:val="23"/>
          <w:lang w:val="de-DE"/>
        </w:rPr>
        <w:softHyphen/>
        <w:t>lungsplans der Regierung von Präsident Juan Manuel Santos. Es besteht also eine akute Gefahr, dass die Umse</w:t>
      </w:r>
      <w:r>
        <w:rPr>
          <w:rFonts w:ascii="DejaVu Sans" w:hAnsi="DejaVu Sans" w:cs="DejaVu Sans"/>
          <w:sz w:val="23"/>
          <w:szCs w:val="23"/>
          <w:lang w:val="de-DE"/>
        </w:rPr>
        <w:t>tzung des Abkommens selbst zur Verlet</w:t>
      </w:r>
      <w:r>
        <w:rPr>
          <w:rFonts w:ascii="DejaVu Sans" w:hAnsi="DejaVu Sans" w:cs="DejaVu Sans"/>
          <w:sz w:val="23"/>
          <w:szCs w:val="23"/>
          <w:lang w:val="de-DE"/>
        </w:rPr>
        <w:softHyphen/>
        <w:t>zung von Menschenrechten beitragen wird.</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Ebenso fehlen verbindliche Umweltstandards im Abkommen, die sicher</w:t>
      </w:r>
      <w:r>
        <w:rPr>
          <w:rFonts w:ascii="DejaVu Sans" w:hAnsi="DejaVu Sans" w:cs="DejaVu Sans"/>
          <w:sz w:val="23"/>
          <w:szCs w:val="23"/>
          <w:lang w:val="de-DE"/>
        </w:rPr>
        <w:softHyphen/>
        <w:t>stellen, dass Rohstoffförderung, Ausbreitung von Ölpalm-Plantagen und großflächige Land</w:t>
      </w:r>
      <w:r>
        <w:rPr>
          <w:rFonts w:ascii="DejaVu Sans" w:hAnsi="DejaVu Sans" w:cs="DejaVu Sans"/>
          <w:sz w:val="23"/>
          <w:szCs w:val="23"/>
          <w:lang w:val="de-DE"/>
        </w:rPr>
        <w:softHyphen/>
        <w:t>akquisitionen nicht d</w:t>
      </w:r>
      <w:r>
        <w:rPr>
          <w:rFonts w:ascii="DejaVu Sans" w:hAnsi="DejaVu Sans" w:cs="DejaVu Sans"/>
          <w:sz w:val="23"/>
          <w:szCs w:val="23"/>
          <w:lang w:val="de-DE"/>
        </w:rPr>
        <w:t>ie Lebensgrundlagen der lokalen Bevölkerung zerstören. 2012 wurden allein in Peru 146 Umweltkonflikte gezählt und die Regierung geht in den betroffenen Regionen mit Polizei und Militär gegen Menschen vor, die sich gegen Landraub und die Vergiftung des Wass</w:t>
      </w:r>
      <w:r>
        <w:rPr>
          <w:rFonts w:ascii="DejaVu Sans" w:hAnsi="DejaVu Sans" w:cs="DejaVu Sans"/>
          <w:sz w:val="23"/>
          <w:szCs w:val="23"/>
          <w:lang w:val="de-DE"/>
        </w:rPr>
        <w:t>ers wehren. Bei diesen Konflikten starben im letzten Jahr 16 Menschen.</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Artikel 25 des Abkommens verbietet Kolumbien und Peru, künftig Ausfuhr</w:t>
      </w:r>
      <w:r>
        <w:rPr>
          <w:rFonts w:ascii="DejaVu Sans" w:hAnsi="DejaVu Sans" w:cs="DejaVu Sans"/>
          <w:sz w:val="23"/>
          <w:szCs w:val="23"/>
          <w:lang w:val="de-DE"/>
        </w:rPr>
        <w:softHyphen/>
        <w:t>zölle oder sonstige Ausfuhrbeschränkungen beizubehalten oder einzu</w:t>
      </w:r>
      <w:r>
        <w:rPr>
          <w:rFonts w:ascii="DejaVu Sans" w:hAnsi="DejaVu Sans" w:cs="DejaVu Sans"/>
          <w:sz w:val="23"/>
          <w:szCs w:val="23"/>
          <w:lang w:val="de-DE"/>
        </w:rPr>
        <w:softHyphen/>
        <w:t>führen. Damit soll das Abkommen europäischen U</w:t>
      </w:r>
      <w:r>
        <w:rPr>
          <w:rFonts w:ascii="DejaVu Sans" w:hAnsi="DejaVu Sans" w:cs="DejaVu Sans"/>
          <w:sz w:val="23"/>
          <w:szCs w:val="23"/>
          <w:lang w:val="de-DE"/>
        </w:rPr>
        <w:t>nternehmen einen unge</w:t>
      </w:r>
      <w:r>
        <w:rPr>
          <w:rFonts w:ascii="DejaVu Sans" w:hAnsi="DejaVu Sans" w:cs="DejaVu Sans"/>
          <w:sz w:val="23"/>
          <w:szCs w:val="23"/>
          <w:lang w:val="de-DE"/>
        </w:rPr>
        <w:softHyphen/>
        <w:t xml:space="preserve">hinderten Zugang zu den Rohstoffen dieser Länder </w:t>
      </w:r>
      <w:r>
        <w:rPr>
          <w:rFonts w:ascii="DejaVu Sans" w:hAnsi="DejaVu Sans" w:cs="DejaVu Sans"/>
          <w:sz w:val="23"/>
          <w:szCs w:val="23"/>
          <w:lang w:val="de-DE"/>
        </w:rPr>
        <w:lastRenderedPageBreak/>
        <w:t>verschaffen. Dabei wird in Kauf genommen, dass die menschenrechtlichen, sozialen und ökologi</w:t>
      </w:r>
      <w:r>
        <w:rPr>
          <w:rFonts w:ascii="DejaVu Sans" w:hAnsi="DejaVu Sans" w:cs="DejaVu Sans"/>
          <w:sz w:val="23"/>
          <w:szCs w:val="23"/>
          <w:lang w:val="de-DE"/>
        </w:rPr>
        <w:softHyphen/>
        <w:t>schen Probleme durch den Rohstoff</w:t>
      </w:r>
      <w:r>
        <w:rPr>
          <w:rFonts w:ascii="DejaVu Sans" w:hAnsi="DejaVu Sans" w:cs="DejaVu Sans"/>
          <w:sz w:val="23"/>
          <w:szCs w:val="23"/>
          <w:lang w:val="de-DE"/>
        </w:rPr>
        <w:softHyphen/>
        <w:t>abbau weiter zunehmen und die da</w:t>
      </w:r>
      <w:r>
        <w:rPr>
          <w:rFonts w:ascii="DejaVu Sans" w:hAnsi="DejaVu Sans" w:cs="DejaVu Sans"/>
          <w:sz w:val="23"/>
          <w:szCs w:val="23"/>
          <w:lang w:val="de-DE"/>
        </w:rPr>
        <w:softHyphen/>
        <w:t>durch ausgelösten Konflik</w:t>
      </w:r>
      <w:r>
        <w:rPr>
          <w:rFonts w:ascii="DejaVu Sans" w:hAnsi="DejaVu Sans" w:cs="DejaVu Sans"/>
          <w:sz w:val="23"/>
          <w:szCs w:val="23"/>
          <w:lang w:val="de-DE"/>
        </w:rPr>
        <w:t>te sich verschärfen. Hauptursache dieser Konflik</w:t>
      </w:r>
      <w:r>
        <w:rPr>
          <w:rFonts w:ascii="DejaVu Sans" w:hAnsi="DejaVu Sans" w:cs="DejaVu Sans"/>
          <w:sz w:val="23"/>
          <w:szCs w:val="23"/>
          <w:lang w:val="de-DE"/>
        </w:rPr>
        <w:softHyphen/>
        <w:t xml:space="preserve">te sind Bergbau und Ölförderung, zum Großteil für den Export. </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Internationale Bergbaukonzerne sind nachweislich als Verursacher betei</w:t>
      </w:r>
      <w:r>
        <w:rPr>
          <w:rFonts w:ascii="DejaVu Sans" w:hAnsi="DejaVu Sans" w:cs="DejaVu Sans"/>
          <w:sz w:val="23"/>
          <w:szCs w:val="23"/>
          <w:lang w:val="de-DE"/>
        </w:rPr>
        <w:softHyphen/>
        <w:t xml:space="preserve">ligt an Umweltschäden und Verstößen gegen die ILO-Kernarbeitsnormen. In </w:t>
      </w:r>
      <w:r>
        <w:rPr>
          <w:rFonts w:ascii="DejaVu Sans" w:hAnsi="DejaVu Sans" w:cs="DejaVu Sans"/>
          <w:sz w:val="23"/>
          <w:szCs w:val="23"/>
          <w:lang w:val="de-DE"/>
        </w:rPr>
        <w:t>Anbetracht der andauernden Landkonflikte und der häufig ungeklärten Landtitel in Peru und Kolumbien besteht eine hohe Wahrscheinlichkeit, dass vermehrte Investitionen in Bergbauprojekte zu weiteren Menschen</w:t>
      </w:r>
      <w:r>
        <w:rPr>
          <w:rFonts w:ascii="DejaVu Sans" w:hAnsi="DejaVu Sans" w:cs="DejaVu Sans"/>
          <w:sz w:val="23"/>
          <w:szCs w:val="23"/>
          <w:lang w:val="de-DE"/>
        </w:rPr>
        <w:softHyphen/>
        <w:t>rechtsverletzungen führen. Der rücksichts</w:t>
      </w:r>
      <w:r>
        <w:rPr>
          <w:rFonts w:ascii="DejaVu Sans" w:hAnsi="DejaVu Sans" w:cs="DejaVu Sans"/>
          <w:sz w:val="23"/>
          <w:szCs w:val="23"/>
          <w:lang w:val="de-DE"/>
        </w:rPr>
        <w:softHyphen/>
        <w:t>lose Ab</w:t>
      </w:r>
      <w:r>
        <w:rPr>
          <w:rFonts w:ascii="DejaVu Sans" w:hAnsi="DejaVu Sans" w:cs="DejaVu Sans"/>
          <w:sz w:val="23"/>
          <w:szCs w:val="23"/>
          <w:lang w:val="de-DE"/>
        </w:rPr>
        <w:t>bau der Rohstoffe in den Ländern forciert Vertreibung und Konflikte und geht mit Verletzungen der von Kolumbien und Peru ratifizierten ILO-Konvention 169 einher, die das Recht auf freie, vorherige und informierte Zustimmung der indigenen Be</w:t>
      </w:r>
      <w:r>
        <w:rPr>
          <w:rFonts w:ascii="DejaVu Sans" w:hAnsi="DejaVu Sans" w:cs="DejaVu Sans"/>
          <w:sz w:val="23"/>
          <w:szCs w:val="23"/>
          <w:lang w:val="de-DE"/>
        </w:rPr>
        <w:softHyphen/>
        <w:t>völkerung verbi</w:t>
      </w:r>
      <w:r>
        <w:rPr>
          <w:rFonts w:ascii="DejaVu Sans" w:hAnsi="DejaVu Sans" w:cs="DejaVu Sans"/>
          <w:sz w:val="23"/>
          <w:szCs w:val="23"/>
          <w:lang w:val="de-DE"/>
        </w:rPr>
        <w:t xml:space="preserve">ndlich festschreibt. </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Eine Gefährdung des Menschenrechts auf Nahrung ergibt sich durch die Verpflichtung des Abkommens, dass Peru und Kolumbien die Einfuhrzölle auf 90 Prozent der landwirtschaftlichen und anderen Güter ab</w:t>
      </w:r>
      <w:r>
        <w:rPr>
          <w:rFonts w:ascii="DejaVu Sans" w:hAnsi="DejaVu Sans" w:cs="DejaVu Sans"/>
          <w:sz w:val="23"/>
          <w:szCs w:val="23"/>
          <w:lang w:val="de-DE"/>
        </w:rPr>
        <w:softHyphen/>
        <w:t>schaffen müssen. Der unge</w:t>
      </w:r>
      <w:r>
        <w:rPr>
          <w:rFonts w:ascii="DejaVu Sans" w:hAnsi="DejaVu Sans" w:cs="DejaVu Sans"/>
          <w:sz w:val="23"/>
          <w:szCs w:val="23"/>
          <w:lang w:val="de-DE"/>
        </w:rPr>
        <w:softHyphen/>
        <w:t>schützt</w:t>
      </w:r>
      <w:r>
        <w:rPr>
          <w:rFonts w:ascii="DejaVu Sans" w:hAnsi="DejaVu Sans" w:cs="DejaVu Sans"/>
          <w:sz w:val="23"/>
          <w:szCs w:val="23"/>
          <w:lang w:val="de-DE"/>
        </w:rPr>
        <w:t>en Konkurrenz durch zum Teil hoch sub</w:t>
      </w:r>
      <w:r>
        <w:rPr>
          <w:rFonts w:ascii="DejaVu Sans" w:hAnsi="DejaVu Sans" w:cs="DejaVu Sans"/>
          <w:sz w:val="23"/>
          <w:szCs w:val="23"/>
          <w:lang w:val="de-DE"/>
        </w:rPr>
        <w:softHyphen/>
        <w:t>ventionierte Produkte aus der EU, wie etwa Milchpulver, sind viele klein</w:t>
      </w:r>
      <w:r>
        <w:rPr>
          <w:rFonts w:ascii="DejaVu Sans" w:hAnsi="DejaVu Sans" w:cs="DejaVu Sans"/>
          <w:sz w:val="23"/>
          <w:szCs w:val="23"/>
          <w:lang w:val="de-DE"/>
        </w:rPr>
        <w:softHyphen/>
        <w:t>bäuerliche Betriebe in diesen Ländern nicht gewachsen. Erleichterte und vergünstigte Einfuhren können daher zu Einkom</w:t>
      </w:r>
      <w:r>
        <w:rPr>
          <w:rFonts w:ascii="DejaVu Sans" w:hAnsi="DejaVu Sans" w:cs="DejaVu Sans"/>
          <w:sz w:val="23"/>
          <w:szCs w:val="23"/>
          <w:lang w:val="de-DE"/>
        </w:rPr>
        <w:softHyphen/>
        <w:t>mensverlusten bei kolum</w:t>
      </w:r>
      <w:r>
        <w:rPr>
          <w:rFonts w:ascii="DejaVu Sans" w:hAnsi="DejaVu Sans" w:cs="DejaVu Sans"/>
          <w:sz w:val="23"/>
          <w:szCs w:val="23"/>
          <w:lang w:val="de-DE"/>
        </w:rPr>
        <w:softHyphen/>
        <w:t>bia</w:t>
      </w:r>
      <w:r>
        <w:rPr>
          <w:rFonts w:ascii="DejaVu Sans" w:hAnsi="DejaVu Sans" w:cs="DejaVu Sans"/>
          <w:sz w:val="23"/>
          <w:szCs w:val="23"/>
          <w:lang w:val="de-DE"/>
        </w:rPr>
        <w:t>nischen und peruanischen Landwirten führen, die ohnehin bereits von Hunger und Armut getroffen oder bedroht sind.</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Die erheblichen ökonomischen Asymmetrien zwischen den Handelspart</w:t>
      </w:r>
      <w:r>
        <w:rPr>
          <w:rFonts w:ascii="DejaVu Sans" w:hAnsi="DejaVu Sans" w:cs="DejaVu Sans"/>
          <w:sz w:val="23"/>
          <w:szCs w:val="23"/>
          <w:lang w:val="de-DE"/>
        </w:rPr>
        <w:softHyphen/>
        <w:t>nern verhindern eine Entwicklung der beiden lateinamerikanischen Staa</w:t>
      </w:r>
      <w:r>
        <w:rPr>
          <w:rFonts w:ascii="DejaVu Sans" w:hAnsi="DejaVu Sans" w:cs="DejaVu Sans"/>
          <w:sz w:val="23"/>
          <w:szCs w:val="23"/>
          <w:lang w:val="de-DE"/>
        </w:rPr>
        <w:softHyphen/>
        <w:t>ten ü</w:t>
      </w:r>
      <w:r>
        <w:rPr>
          <w:rFonts w:ascii="DejaVu Sans" w:hAnsi="DejaVu Sans" w:cs="DejaVu Sans"/>
          <w:sz w:val="23"/>
          <w:szCs w:val="23"/>
          <w:lang w:val="de-DE"/>
        </w:rPr>
        <w:t>ber die Rolle als rein rohstoffexportierende Länder hinaus. Um dem entgegenzuwirken, brauchen Peru und Kolumbien politische Handlungs</w:t>
      </w:r>
      <w:r>
        <w:rPr>
          <w:rFonts w:ascii="DejaVu Sans" w:hAnsi="DejaVu Sans" w:cs="DejaVu Sans"/>
          <w:sz w:val="23"/>
          <w:szCs w:val="23"/>
          <w:lang w:val="de-DE"/>
        </w:rPr>
        <w:softHyphen/>
        <w:t>spielräume zur Regulierung ihrer Wirtschaft – eben diese Spielräume schränkt das geplante Abkommen ein.</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Die im Handelsabk</w:t>
      </w:r>
      <w:r>
        <w:rPr>
          <w:rFonts w:ascii="DejaVu Sans" w:hAnsi="DejaVu Sans" w:cs="DejaVu Sans"/>
          <w:sz w:val="23"/>
          <w:szCs w:val="23"/>
          <w:lang w:val="de-DE"/>
        </w:rPr>
        <w:t>ommen vereinbarten Liberalisierungen der Finanz</w:t>
      </w:r>
      <w:r>
        <w:rPr>
          <w:rFonts w:ascii="DejaVu Sans" w:hAnsi="DejaVu Sans" w:cs="DejaVu Sans"/>
          <w:sz w:val="23"/>
          <w:szCs w:val="23"/>
          <w:lang w:val="de-DE"/>
        </w:rPr>
        <w:softHyphen/>
        <w:t>märkte erschweren die Bemühungen zur Regulierung des internationalen Fi</w:t>
      </w:r>
      <w:r>
        <w:rPr>
          <w:rFonts w:ascii="DejaVu Sans" w:hAnsi="DejaVu Sans" w:cs="DejaVu Sans"/>
          <w:sz w:val="23"/>
          <w:szCs w:val="23"/>
          <w:lang w:val="de-DE"/>
        </w:rPr>
        <w:softHyphen/>
        <w:t>nanzsektors und erleichtern Geldwäsche und Steuerhinterziehung. So könnten Finanzakteure riskante Geschäfte machen, ohne ausreichend von</w:t>
      </w:r>
      <w:r>
        <w:rPr>
          <w:rFonts w:ascii="DejaVu Sans" w:hAnsi="DejaVu Sans" w:cs="DejaVu Sans"/>
          <w:sz w:val="23"/>
          <w:szCs w:val="23"/>
          <w:lang w:val="de-DE"/>
        </w:rPr>
        <w:t xml:space="preserve"> einer der Vertragsparteien kontrolliert zu sein. Das Abkommen schützt auch nur unzureichend das Recht der Vertragsparteien, Kapitalflüsse zu kontrollieren.</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Im Bereich der geistigen Eigentumsrechte werden Kolumbien und Peru in Artikel 232 verpflichtet, di</w:t>
      </w:r>
      <w:r>
        <w:rPr>
          <w:rFonts w:ascii="DejaVu Sans" w:hAnsi="DejaVu Sans" w:cs="DejaVu Sans"/>
          <w:sz w:val="23"/>
          <w:szCs w:val="23"/>
          <w:lang w:val="de-DE"/>
        </w:rPr>
        <w:t>e Standards des Sortenschutzabkommens UPOV in der Version von 1991 umzusetzen. Damit müssten diese Länder Gesetze erlassen, welche den Austausch und Weiterverkauf kommerziellen Saat</w:t>
      </w:r>
      <w:r>
        <w:rPr>
          <w:rFonts w:ascii="DejaVu Sans" w:hAnsi="DejaVu Sans" w:cs="DejaVu Sans"/>
          <w:sz w:val="23"/>
          <w:szCs w:val="23"/>
          <w:lang w:val="de-DE"/>
        </w:rPr>
        <w:softHyphen/>
        <w:t>guts während der 20-jährigen Geltungsdauer des Sortenschutzes verbie</w:t>
      </w:r>
      <w:r>
        <w:rPr>
          <w:rFonts w:ascii="DejaVu Sans" w:hAnsi="DejaVu Sans" w:cs="DejaVu Sans"/>
          <w:sz w:val="23"/>
          <w:szCs w:val="23"/>
          <w:lang w:val="de-DE"/>
        </w:rPr>
        <w:softHyphen/>
        <w:t>ten u</w:t>
      </w:r>
      <w:r>
        <w:rPr>
          <w:rFonts w:ascii="DejaVu Sans" w:hAnsi="DejaVu Sans" w:cs="DejaVu Sans"/>
          <w:sz w:val="23"/>
          <w:szCs w:val="23"/>
          <w:lang w:val="de-DE"/>
        </w:rPr>
        <w:t>nd auch die Wiederaussaat nur gegen Entrichtung von Nachbauge</w:t>
      </w:r>
      <w:r>
        <w:rPr>
          <w:rFonts w:ascii="DejaVu Sans" w:hAnsi="DejaVu Sans" w:cs="DejaVu Sans"/>
          <w:sz w:val="23"/>
          <w:szCs w:val="23"/>
          <w:lang w:val="de-DE"/>
        </w:rPr>
        <w:softHyphen/>
        <w:t>bühren erlauben. Dadurch werden der Zugang von Bauerngemeinschaften zu Saatgut erschwert, ihre landwirtschaftlichen Produktionskosten erhöht und damit ihr Menschenrecht auf Nahrung gefährdet.</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Z</w:t>
      </w:r>
      <w:r>
        <w:rPr>
          <w:rFonts w:ascii="DejaVu Sans" w:hAnsi="DejaVu Sans" w:cs="DejaVu Sans"/>
          <w:sz w:val="23"/>
          <w:szCs w:val="23"/>
          <w:lang w:val="de-DE"/>
        </w:rPr>
        <w:t>usätzlich wird durch sogenannte Datenexklusivität die Marktzulassung von Gene</w:t>
      </w:r>
      <w:r>
        <w:rPr>
          <w:rFonts w:ascii="DejaVu Sans" w:hAnsi="DejaVu Sans" w:cs="DejaVu Sans"/>
          <w:sz w:val="23"/>
          <w:szCs w:val="23"/>
          <w:lang w:val="de-DE"/>
        </w:rPr>
        <w:softHyphen/>
        <w:t>rika verhindert oder zumindest deutlich verzögert. Es kann dazu führen, dass die noch verbliebenen und in den WTO-Abkommen garan</w:t>
      </w:r>
      <w:r>
        <w:rPr>
          <w:rFonts w:ascii="DejaVu Sans" w:hAnsi="DejaVu Sans" w:cs="DejaVu Sans"/>
          <w:sz w:val="23"/>
          <w:szCs w:val="23"/>
          <w:lang w:val="de-DE"/>
        </w:rPr>
        <w:softHyphen/>
        <w:t>tierten Schutzklauseln ausge</w:t>
      </w:r>
      <w:r>
        <w:rPr>
          <w:rFonts w:ascii="DejaVu Sans" w:hAnsi="DejaVu Sans" w:cs="DejaVu Sans"/>
          <w:sz w:val="23"/>
          <w:szCs w:val="23"/>
          <w:lang w:val="de-DE"/>
        </w:rPr>
        <w:softHyphen/>
        <w:t>hebelt werden, die e</w:t>
      </w:r>
      <w:r>
        <w:rPr>
          <w:rFonts w:ascii="DejaVu Sans" w:hAnsi="DejaVu Sans" w:cs="DejaVu Sans"/>
          <w:sz w:val="23"/>
          <w:szCs w:val="23"/>
          <w:lang w:val="de-DE"/>
        </w:rPr>
        <w:t>s ermöglichen, Patente au</w:t>
      </w:r>
      <w:r>
        <w:rPr>
          <w:rFonts w:ascii="DejaVu Sans" w:hAnsi="DejaVu Sans" w:cs="DejaVu Sans"/>
          <w:sz w:val="23"/>
          <w:szCs w:val="23"/>
          <w:lang w:val="de-DE"/>
        </w:rPr>
        <w:softHyphen/>
        <w:t>ßer Kraft zu setzen und qualitativ gleichwertige aber wesentlich kosten</w:t>
      </w:r>
      <w:r>
        <w:rPr>
          <w:rFonts w:ascii="DejaVu Sans" w:hAnsi="DejaVu Sans" w:cs="DejaVu Sans"/>
          <w:sz w:val="23"/>
          <w:szCs w:val="23"/>
          <w:lang w:val="de-DE"/>
        </w:rPr>
        <w:softHyphen/>
        <w:t>günstigere Kopien von Originalprodukten zu beziehen. Die kostensen</w:t>
      </w:r>
      <w:r>
        <w:rPr>
          <w:rFonts w:ascii="DejaVu Sans" w:hAnsi="DejaVu Sans" w:cs="DejaVu Sans"/>
          <w:sz w:val="23"/>
          <w:szCs w:val="23"/>
          <w:lang w:val="de-DE"/>
        </w:rPr>
        <w:softHyphen/>
        <w:t>kende Wirkung der Konkurrenz durch Generika ist gerade im Hinblick auf HIV/Aids-Präparate h</w:t>
      </w:r>
      <w:r>
        <w:rPr>
          <w:rFonts w:ascii="DejaVu Sans" w:hAnsi="DejaVu Sans" w:cs="DejaVu Sans"/>
          <w:sz w:val="23"/>
          <w:szCs w:val="23"/>
          <w:lang w:val="de-DE"/>
        </w:rPr>
        <w:t>äufig lebensnotwendig. Vor allem dank Gene</w:t>
      </w:r>
      <w:r>
        <w:rPr>
          <w:rFonts w:ascii="DejaVu Sans" w:hAnsi="DejaVu Sans" w:cs="DejaVu Sans"/>
          <w:sz w:val="23"/>
          <w:szCs w:val="23"/>
          <w:lang w:val="de-DE"/>
        </w:rPr>
        <w:softHyphen/>
        <w:t>rika ist es möglich, dass heute rund acht Millionen Menschen lebensrettende HIV-Me</w:t>
      </w:r>
      <w:r>
        <w:rPr>
          <w:rFonts w:ascii="DejaVu Sans" w:hAnsi="DejaVu Sans" w:cs="DejaVu Sans"/>
          <w:sz w:val="23"/>
          <w:szCs w:val="23"/>
          <w:lang w:val="de-DE"/>
        </w:rPr>
        <w:softHyphen/>
        <w:t>dikamente erhalten.</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pPr>
      <w:r>
        <w:rPr>
          <w:rFonts w:ascii="DejaVu Sans" w:eastAsia="Arial Unicode MS" w:hAnsi="DejaVu Sans" w:cs="DejaVu Sans"/>
          <w:color w:val="000000"/>
          <w:sz w:val="23"/>
          <w:szCs w:val="23"/>
          <w:lang w:val="de-DE"/>
        </w:rPr>
        <w:t>Eine vom EU Parlament im Juni 2012 verabschiedete Resolution soll eine Überprü</w:t>
      </w:r>
      <w:r>
        <w:rPr>
          <w:rFonts w:ascii="DejaVu Sans" w:eastAsia="Arial Unicode MS" w:hAnsi="DejaVu Sans" w:cs="DejaVu Sans"/>
          <w:color w:val="000000"/>
          <w:sz w:val="23"/>
          <w:szCs w:val="23"/>
          <w:lang w:val="de-DE"/>
        </w:rPr>
        <w:softHyphen/>
        <w:t>fung sozialer, arbeitsrechtlic</w:t>
      </w:r>
      <w:r>
        <w:rPr>
          <w:rFonts w:ascii="DejaVu Sans" w:eastAsia="Arial Unicode MS" w:hAnsi="DejaVu Sans" w:cs="DejaVu Sans"/>
          <w:color w:val="000000"/>
          <w:sz w:val="23"/>
          <w:szCs w:val="23"/>
          <w:lang w:val="de-DE"/>
        </w:rPr>
        <w:t>her und Umwelt-Standards sowie der Menschenrechts</w:t>
      </w:r>
      <w:r>
        <w:rPr>
          <w:rFonts w:ascii="DejaVu Sans" w:eastAsia="Arial Unicode MS" w:hAnsi="DejaVu Sans" w:cs="DejaVu Sans"/>
          <w:color w:val="000000"/>
          <w:sz w:val="23"/>
          <w:szCs w:val="23"/>
          <w:lang w:val="de-DE"/>
        </w:rPr>
        <w:softHyphen/>
        <w:t>situation in Kolumbien und Peru gewährleisten. Beide Län</w:t>
      </w:r>
      <w:r>
        <w:rPr>
          <w:rFonts w:ascii="DejaVu Sans" w:eastAsia="Arial Unicode MS" w:hAnsi="DejaVu Sans" w:cs="DejaVu Sans"/>
          <w:color w:val="000000"/>
          <w:sz w:val="23"/>
          <w:szCs w:val="23"/>
          <w:lang w:val="de-DE"/>
        </w:rPr>
        <w:softHyphen/>
        <w:t>der hatten dem Euro</w:t>
      </w:r>
      <w:r>
        <w:rPr>
          <w:rFonts w:ascii="DejaVu Sans" w:eastAsia="Arial Unicode MS" w:hAnsi="DejaVu Sans" w:cs="DejaVu Sans"/>
          <w:color w:val="000000"/>
          <w:sz w:val="23"/>
          <w:szCs w:val="23"/>
          <w:lang w:val="de-DE"/>
        </w:rPr>
        <w:softHyphen/>
        <w:t xml:space="preserve">päischen Parlament dazu einen Aktionsplan vorgelegt. Sowohl die kolumbianische Gewerkschaftsakademie (ENS) als </w:t>
      </w:r>
      <w:r>
        <w:rPr>
          <w:rFonts w:ascii="DejaVu Sans" w:eastAsia="Arial Unicode MS" w:hAnsi="DejaVu Sans" w:cs="DejaVu Sans"/>
          <w:color w:val="000000"/>
          <w:sz w:val="23"/>
          <w:szCs w:val="23"/>
          <w:lang w:val="de-DE"/>
        </w:rPr>
        <w:lastRenderedPageBreak/>
        <w:t>auch zivilge</w:t>
      </w:r>
      <w:r>
        <w:rPr>
          <w:rFonts w:ascii="DejaVu Sans" w:eastAsia="Arial Unicode MS" w:hAnsi="DejaVu Sans" w:cs="DejaVu Sans"/>
          <w:color w:val="000000"/>
          <w:sz w:val="23"/>
          <w:szCs w:val="23"/>
          <w:lang w:val="de-DE"/>
        </w:rPr>
        <w:softHyphen/>
        <w:t>sells</w:t>
      </w:r>
      <w:r>
        <w:rPr>
          <w:rFonts w:ascii="DejaVu Sans" w:eastAsia="Arial Unicode MS" w:hAnsi="DejaVu Sans" w:cs="DejaVu Sans"/>
          <w:color w:val="000000"/>
          <w:sz w:val="23"/>
          <w:szCs w:val="23"/>
          <w:lang w:val="de-DE"/>
        </w:rPr>
        <w:t>chaftliche Organisationen kriti</w:t>
      </w:r>
      <w:r>
        <w:rPr>
          <w:rFonts w:ascii="DejaVu Sans" w:eastAsia="Arial Unicode MS" w:hAnsi="DejaVu Sans" w:cs="DejaVu Sans"/>
          <w:color w:val="000000"/>
          <w:sz w:val="23"/>
          <w:szCs w:val="23"/>
          <w:lang w:val="de-DE"/>
        </w:rPr>
        <w:softHyphen/>
        <w:t xml:space="preserve">sieren die mangelnde Verbindlichkeit dieser Aktionspläne. </w:t>
      </w:r>
      <w:r>
        <w:rPr>
          <w:rStyle w:val="Kommentarzeichen"/>
          <w:rFonts w:ascii="DejaVu Sans" w:eastAsia="Arial Unicode MS" w:hAnsi="DejaVu Sans" w:cs="DejaVu Sans"/>
          <w:color w:val="000000"/>
          <w:kern w:val="1"/>
          <w:sz w:val="23"/>
          <w:szCs w:val="23"/>
          <w:lang w:val="de-DE"/>
        </w:rPr>
        <w:t xml:space="preserve">Das wesentliche Defizit </w:t>
      </w:r>
      <w:r>
        <w:rPr>
          <w:rStyle w:val="Kommentarzeichen"/>
          <w:rFonts w:ascii="DejaVu Sans" w:eastAsia="Arial Unicode MS" w:hAnsi="DejaVu Sans" w:cs="DejaVu Sans"/>
          <w:color w:val="000000"/>
          <w:kern w:val="1"/>
          <w:sz w:val="23"/>
          <w:szCs w:val="23"/>
          <w:lang w:val="de-DE"/>
        </w:rPr>
        <w:t>dieser Resolution besteht dar</w:t>
      </w:r>
      <w:r>
        <w:rPr>
          <w:rStyle w:val="Kommentarzeichen"/>
          <w:rFonts w:ascii="DejaVu Sans" w:eastAsia="Arial Unicode MS" w:hAnsi="DejaVu Sans" w:cs="DejaVu Sans"/>
          <w:color w:val="000000"/>
          <w:kern w:val="1"/>
          <w:sz w:val="23"/>
          <w:szCs w:val="23"/>
          <w:lang w:val="de-DE"/>
        </w:rPr>
        <w:softHyphen/>
        <w:t>in, dass sie am Fehlen von Sanktionsmöglichkeiten bei Verstößen gegen Menschenrechts-, Sozial- und Umweltklausel</w:t>
      </w:r>
      <w:r>
        <w:rPr>
          <w:rStyle w:val="Kommentarzeichen"/>
          <w:rFonts w:ascii="DejaVu Sans" w:eastAsia="Arial Unicode MS" w:hAnsi="DejaVu Sans" w:cs="DejaVu Sans"/>
          <w:color w:val="000000"/>
          <w:kern w:val="1"/>
          <w:sz w:val="23"/>
          <w:szCs w:val="23"/>
          <w:lang w:val="de-DE"/>
        </w:rPr>
        <w:t>n im Abkommen selbst nichts ändert.</w:t>
      </w:r>
    </w:p>
    <w:p w:rsidR="00000000" w:rsidRDefault="00DD2402">
      <w:pPr>
        <w:spacing w:after="0" w:line="100" w:lineRule="atLeast"/>
      </w:pPr>
    </w:p>
    <w:p w:rsidR="00000000" w:rsidRDefault="00DD2402">
      <w:pPr>
        <w:spacing w:after="0" w:line="100" w:lineRule="atLeast"/>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shd w:val="clear" w:color="auto" w:fill="FFFF00"/>
          <w:lang w:val="de-DE"/>
        </w:rPr>
        <w:t>Wir</w:t>
      </w:r>
      <w:r>
        <w:rPr>
          <w:rFonts w:ascii="DejaVu Sans" w:hAnsi="DejaVu Sans" w:cs="DejaVu Sans"/>
          <w:sz w:val="23"/>
          <w:szCs w:val="23"/>
          <w:lang w:val="de-DE"/>
        </w:rPr>
        <w:t xml:space="preserve"> bitten Sie daher: </w:t>
      </w:r>
    </w:p>
    <w:p w:rsidR="00000000" w:rsidRDefault="00DD2402">
      <w:pPr>
        <w:numPr>
          <w:ilvl w:val="0"/>
          <w:numId w:val="2"/>
        </w:numPr>
        <w:spacing w:after="0" w:line="100" w:lineRule="atLeast"/>
        <w:rPr>
          <w:rFonts w:ascii="DejaVu Sans" w:hAnsi="DejaVu Sans" w:cs="DejaVu Sans"/>
          <w:sz w:val="23"/>
          <w:szCs w:val="23"/>
          <w:lang w:val="de-DE"/>
        </w:rPr>
      </w:pPr>
      <w:r>
        <w:rPr>
          <w:rFonts w:ascii="DejaVu Sans" w:hAnsi="DejaVu Sans" w:cs="DejaVu Sans"/>
          <w:sz w:val="23"/>
          <w:szCs w:val="23"/>
          <w:lang w:val="de-DE"/>
        </w:rPr>
        <w:t>Ratifizieren Sie nicht das Freihandelsabkommen in seiner derzeitigen Fassung und unter diesen Umständen, um die dramatische Situation in Kolumbien und Peru nicht zu verschärfen.</w:t>
      </w:r>
    </w:p>
    <w:p w:rsidR="00000000" w:rsidRDefault="00DD2402">
      <w:pPr>
        <w:numPr>
          <w:ilvl w:val="0"/>
          <w:numId w:val="2"/>
        </w:numPr>
        <w:spacing w:after="0" w:line="100" w:lineRule="atLeast"/>
        <w:rPr>
          <w:rFonts w:ascii="DejaVu Sans" w:hAnsi="DejaVu Sans" w:cs="DejaVu Sans"/>
          <w:sz w:val="23"/>
          <w:szCs w:val="23"/>
          <w:lang w:val="de-DE"/>
        </w:rPr>
      </w:pPr>
      <w:r>
        <w:rPr>
          <w:rFonts w:ascii="DejaVu Sans" w:hAnsi="DejaVu Sans" w:cs="DejaVu Sans"/>
          <w:sz w:val="23"/>
          <w:szCs w:val="23"/>
          <w:lang w:val="de-DE"/>
        </w:rPr>
        <w:t>Setzen Sie sich d</w:t>
      </w:r>
      <w:r>
        <w:rPr>
          <w:rFonts w:ascii="DejaVu Sans" w:hAnsi="DejaVu Sans" w:cs="DejaVu Sans"/>
          <w:sz w:val="23"/>
          <w:szCs w:val="23"/>
          <w:lang w:val="de-DE"/>
        </w:rPr>
        <w:t>afür ein, dass Menschenrechte, ILO-Kernarbeitsnormen, Umweltstandards und die Mitwirkungsrechte der Bevölkerung oberste Priorität haben und umgesetzt werden, auch beim Investitions</w:t>
      </w:r>
      <w:r>
        <w:rPr>
          <w:rFonts w:ascii="DejaVu Sans" w:hAnsi="DejaVu Sans" w:cs="DejaVu Sans"/>
          <w:sz w:val="23"/>
          <w:szCs w:val="23"/>
          <w:lang w:val="de-DE"/>
        </w:rPr>
        <w:softHyphen/>
        <w:t>schutz.</w:t>
      </w:r>
    </w:p>
    <w:p w:rsidR="00000000" w:rsidRDefault="00DD2402">
      <w:pPr>
        <w:numPr>
          <w:ilvl w:val="0"/>
          <w:numId w:val="2"/>
        </w:numPr>
        <w:spacing w:after="0" w:line="100" w:lineRule="atLeast"/>
        <w:rPr>
          <w:rFonts w:ascii="DejaVu Sans" w:hAnsi="DejaVu Sans" w:cs="DejaVu Sans"/>
          <w:sz w:val="23"/>
          <w:szCs w:val="23"/>
          <w:lang w:val="de-DE"/>
        </w:rPr>
      </w:pPr>
      <w:r>
        <w:rPr>
          <w:rFonts w:ascii="DejaVu Sans" w:hAnsi="DejaVu Sans" w:cs="DejaVu Sans"/>
          <w:sz w:val="23"/>
          <w:szCs w:val="23"/>
          <w:lang w:val="de-DE"/>
        </w:rPr>
        <w:t>Setzen Sie sich dafür ein, dass künftig vor Beginn von Verhandlunge</w:t>
      </w:r>
      <w:r>
        <w:rPr>
          <w:rFonts w:ascii="DejaVu Sans" w:hAnsi="DejaVu Sans" w:cs="DejaVu Sans"/>
          <w:sz w:val="23"/>
          <w:szCs w:val="23"/>
          <w:lang w:val="de-DE"/>
        </w:rPr>
        <w:t>n und vor einer Ratifizierung von Handelsabkommen der EU umfassende menschenrechtliche Folgenabschätzungen vorgenommen werden.</w:t>
      </w:r>
    </w:p>
    <w:p w:rsidR="00000000" w:rsidRDefault="00DD2402">
      <w:pPr>
        <w:numPr>
          <w:ilvl w:val="0"/>
          <w:numId w:val="2"/>
        </w:numPr>
        <w:spacing w:after="0" w:line="100" w:lineRule="atLeast"/>
        <w:rPr>
          <w:rFonts w:ascii="DejaVu Sans" w:hAnsi="DejaVu Sans" w:cs="DejaVu Sans"/>
          <w:sz w:val="23"/>
          <w:szCs w:val="23"/>
          <w:lang w:val="de-DE"/>
        </w:rPr>
      </w:pPr>
      <w:r>
        <w:rPr>
          <w:rFonts w:ascii="DejaVu Sans" w:hAnsi="DejaVu Sans" w:cs="DejaVu Sans"/>
          <w:sz w:val="23"/>
          <w:szCs w:val="23"/>
          <w:lang w:val="de-DE"/>
        </w:rPr>
        <w:t>Setzen Sie sich für eine faire und gerechte Handelspolitik mit Peru und Kolumbien ein, die der besonderen Situation dieser Länder</w:t>
      </w:r>
      <w:r>
        <w:rPr>
          <w:rFonts w:ascii="DejaVu Sans" w:hAnsi="DejaVu Sans" w:cs="DejaVu Sans"/>
          <w:sz w:val="23"/>
          <w:szCs w:val="23"/>
          <w:lang w:val="de-DE"/>
        </w:rPr>
        <w:t xml:space="preserve"> Rechnung trägt und ihnen die notwendigen politischen Handlungsspielräume si</w:t>
      </w:r>
      <w:r>
        <w:rPr>
          <w:rFonts w:ascii="DejaVu Sans" w:hAnsi="DejaVu Sans" w:cs="DejaVu Sans"/>
          <w:sz w:val="23"/>
          <w:szCs w:val="23"/>
          <w:lang w:val="de-DE"/>
        </w:rPr>
        <w:softHyphen/>
        <w:t>chert.</w:t>
      </w:r>
    </w:p>
    <w:p w:rsidR="00000000" w:rsidRDefault="00DD2402">
      <w:pPr>
        <w:numPr>
          <w:ilvl w:val="0"/>
          <w:numId w:val="2"/>
        </w:numPr>
        <w:spacing w:after="0" w:line="100" w:lineRule="atLeast"/>
        <w:rPr>
          <w:rFonts w:ascii="DejaVu Sans" w:hAnsi="DejaVu Sans" w:cs="DejaVu Sans"/>
          <w:sz w:val="23"/>
          <w:szCs w:val="23"/>
          <w:lang w:val="de-DE"/>
        </w:rPr>
      </w:pPr>
      <w:r>
        <w:rPr>
          <w:rFonts w:ascii="DejaVu Sans" w:hAnsi="DejaVu Sans" w:cs="DejaVu Sans"/>
          <w:sz w:val="23"/>
          <w:szCs w:val="23"/>
          <w:lang w:val="de-DE"/>
        </w:rPr>
        <w:t>Helfen Sie den Opfern des internen Konflikts in Kolumbien, damit für sie der nötige Schutz gewährleistet wird, und unterstützen Sie die Menschenrechts</w:t>
      </w:r>
      <w:r>
        <w:rPr>
          <w:rFonts w:ascii="DejaVu Sans" w:hAnsi="DejaVu Sans" w:cs="DejaVu Sans"/>
          <w:sz w:val="23"/>
          <w:szCs w:val="23"/>
          <w:lang w:val="de-DE"/>
        </w:rPr>
        <w:softHyphen/>
        <w:t>organisationen in Kol</w:t>
      </w:r>
      <w:r>
        <w:rPr>
          <w:rFonts w:ascii="DejaVu Sans" w:hAnsi="DejaVu Sans" w:cs="DejaVu Sans"/>
          <w:sz w:val="23"/>
          <w:szCs w:val="23"/>
          <w:lang w:val="de-DE"/>
        </w:rPr>
        <w:t>umbien und Peru in ihren Anstren</w:t>
      </w:r>
      <w:r>
        <w:rPr>
          <w:rFonts w:ascii="DejaVu Sans" w:hAnsi="DejaVu Sans" w:cs="DejaVu Sans"/>
          <w:sz w:val="23"/>
          <w:szCs w:val="23"/>
          <w:lang w:val="de-DE"/>
        </w:rPr>
        <w:softHyphen/>
        <w:t>gungen zur Stärkung des Rechtsstaates und der Zivilgesellschaft.</w:t>
      </w: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eastAsia="MyriadSet-Text" w:hAnsi="DejaVu Sans" w:cs="DejaVu Sans"/>
          <w:i/>
          <w:iCs/>
          <w:color w:val="000000"/>
          <w:sz w:val="23"/>
          <w:szCs w:val="23"/>
          <w:u w:val="single"/>
          <w:lang w:val="de-DE"/>
        </w:rPr>
      </w:pP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p>
    <w:p w:rsidR="00000000" w:rsidRDefault="00DD2402">
      <w:pPr>
        <w:spacing w:after="0" w:line="100" w:lineRule="atLeast"/>
        <w:rPr>
          <w:rFonts w:ascii="DejaVu Sans" w:hAnsi="DejaVu Sans" w:cs="DejaVu Sans"/>
          <w:sz w:val="23"/>
          <w:szCs w:val="23"/>
          <w:lang w:val="de-DE"/>
        </w:rPr>
      </w:pPr>
      <w:r>
        <w:rPr>
          <w:rFonts w:ascii="DejaVu Sans" w:hAnsi="DejaVu Sans" w:cs="DejaVu Sans"/>
          <w:sz w:val="23"/>
          <w:szCs w:val="23"/>
          <w:lang w:val="de-DE"/>
        </w:rPr>
        <w:t xml:space="preserve">Mit freundlichen Grüßen, </w:t>
      </w:r>
    </w:p>
    <w:p w:rsidR="00000000" w:rsidRDefault="00DD2402">
      <w:pPr>
        <w:spacing w:after="0" w:line="100" w:lineRule="atLeast"/>
        <w:rPr>
          <w:rFonts w:ascii="DejaVu Sans" w:hAnsi="DejaVu Sans" w:cs="DejaVu Sans"/>
          <w:sz w:val="23"/>
          <w:szCs w:val="23"/>
          <w:lang w:val="de-DE"/>
        </w:rPr>
      </w:pPr>
    </w:p>
    <w:p w:rsidR="00DD2402" w:rsidRDefault="00DD2402">
      <w:pPr>
        <w:spacing w:after="0" w:line="100" w:lineRule="atLeast"/>
      </w:pPr>
    </w:p>
    <w:sectPr w:rsidR="00DD2402">
      <w:pgSz w:w="11906" w:h="16838"/>
      <w:pgMar w:top="1134" w:right="1134" w:bottom="70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DejaVu Sans">
    <w:altName w:val="Arial"/>
    <w:charset w:val="00"/>
    <w:family w:val="swiss"/>
    <w:pitch w:val="variable"/>
    <w:sig w:usb0="00000000" w:usb1="00000000" w:usb2="00000000" w:usb3="00000000" w:csb0="00000000" w:csb1="00000000"/>
  </w:font>
  <w:font w:name="Courier 10 Pitch">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yriadSet-Tex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0D2"/>
    <w:rsid w:val="00BE20D2"/>
    <w:rsid w:val="00DD240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Verdana" w:eastAsia="Verdana" w:hAnsi="Verdana"/>
      <w:sz w:val="22"/>
      <w:szCs w:val="22"/>
      <w:lang w:val="en-US" w:eastAsia="en-US" w:bidi="en-US"/>
    </w:rPr>
  </w:style>
  <w:style w:type="paragraph" w:styleId="Ttulo1">
    <w:name w:val="heading 1"/>
    <w:basedOn w:val="Normal"/>
    <w:next w:val="Normal"/>
    <w:qFormat/>
    <w:pPr>
      <w:numPr>
        <w:numId w:val="1"/>
      </w:numPr>
      <w:spacing w:before="480" w:after="0"/>
      <w:outlineLvl w:val="0"/>
    </w:pPr>
    <w:rPr>
      <w:smallCaps/>
      <w:spacing w:val="5"/>
      <w:sz w:val="36"/>
      <w:szCs w:val="36"/>
    </w:rPr>
  </w:style>
  <w:style w:type="paragraph" w:styleId="Ttulo2">
    <w:name w:val="heading 2"/>
    <w:basedOn w:val="Normal"/>
    <w:next w:val="Normal"/>
    <w:qFormat/>
    <w:pPr>
      <w:numPr>
        <w:ilvl w:val="1"/>
        <w:numId w:val="1"/>
      </w:numPr>
      <w:spacing w:before="200" w:after="0" w:line="264" w:lineRule="auto"/>
      <w:outlineLvl w:val="1"/>
    </w:pPr>
    <w:rPr>
      <w:smallCaps/>
      <w:sz w:val="28"/>
      <w:szCs w:val="28"/>
    </w:rPr>
  </w:style>
  <w:style w:type="paragraph" w:styleId="Ttulo3">
    <w:name w:val="heading 3"/>
    <w:basedOn w:val="Normal"/>
    <w:next w:val="Normal"/>
    <w:qFormat/>
    <w:pPr>
      <w:numPr>
        <w:ilvl w:val="2"/>
        <w:numId w:val="1"/>
      </w:numPr>
      <w:spacing w:before="200" w:after="0" w:line="264" w:lineRule="auto"/>
      <w:outlineLvl w:val="2"/>
    </w:pPr>
    <w:rPr>
      <w:i/>
      <w:iCs/>
      <w:smallCaps/>
      <w:spacing w:val="5"/>
      <w:sz w:val="26"/>
      <w:szCs w:val="26"/>
    </w:rPr>
  </w:style>
  <w:style w:type="paragraph" w:styleId="Ttulo4">
    <w:name w:val="heading 4"/>
    <w:basedOn w:val="Normal"/>
    <w:next w:val="Normal"/>
    <w:qFormat/>
    <w:pPr>
      <w:numPr>
        <w:ilvl w:val="3"/>
        <w:numId w:val="1"/>
      </w:numPr>
      <w:spacing w:after="0" w:line="264" w:lineRule="auto"/>
      <w:outlineLvl w:val="3"/>
    </w:pPr>
    <w:rPr>
      <w:b/>
      <w:bCs/>
      <w:spacing w:val="5"/>
      <w:sz w:val="24"/>
      <w:szCs w:val="24"/>
    </w:rPr>
  </w:style>
  <w:style w:type="paragraph" w:styleId="Ttulo5">
    <w:name w:val="heading 5"/>
    <w:basedOn w:val="Normal"/>
    <w:next w:val="Normal"/>
    <w:qFormat/>
    <w:pPr>
      <w:numPr>
        <w:ilvl w:val="4"/>
        <w:numId w:val="1"/>
      </w:numPr>
      <w:spacing w:after="0" w:line="264" w:lineRule="auto"/>
      <w:outlineLvl w:val="4"/>
    </w:pPr>
    <w:rPr>
      <w:i/>
      <w:iCs/>
      <w:sz w:val="24"/>
      <w:szCs w:val="24"/>
    </w:rPr>
  </w:style>
  <w:style w:type="paragraph" w:styleId="Ttulo6">
    <w:name w:val="heading 6"/>
    <w:basedOn w:val="Normal"/>
    <w:next w:val="Normal"/>
    <w:qFormat/>
    <w:pPr>
      <w:numPr>
        <w:ilvl w:val="5"/>
        <w:numId w:val="1"/>
      </w:numPr>
      <w:shd w:val="clear" w:color="auto" w:fill="FFFFFF"/>
      <w:spacing w:after="0" w:line="264" w:lineRule="auto"/>
      <w:outlineLvl w:val="5"/>
    </w:pPr>
    <w:rPr>
      <w:b/>
      <w:bCs/>
      <w:color w:val="595959"/>
      <w:spacing w:val="5"/>
    </w:rPr>
  </w:style>
  <w:style w:type="paragraph" w:styleId="Ttulo7">
    <w:name w:val="heading 7"/>
    <w:basedOn w:val="Normal"/>
    <w:next w:val="Normal"/>
    <w:qFormat/>
    <w:pPr>
      <w:numPr>
        <w:ilvl w:val="6"/>
        <w:numId w:val="1"/>
      </w:numPr>
      <w:spacing w:after="0"/>
      <w:outlineLvl w:val="6"/>
    </w:pPr>
    <w:rPr>
      <w:b/>
      <w:bCs/>
      <w:i/>
      <w:iCs/>
      <w:color w:val="5A5A5A"/>
      <w:sz w:val="20"/>
      <w:szCs w:val="20"/>
    </w:rPr>
  </w:style>
  <w:style w:type="paragraph" w:styleId="Ttulo8">
    <w:name w:val="heading 8"/>
    <w:basedOn w:val="Normal"/>
    <w:next w:val="Normal"/>
    <w:qFormat/>
    <w:pPr>
      <w:numPr>
        <w:ilvl w:val="7"/>
        <w:numId w:val="1"/>
      </w:numPr>
      <w:spacing w:after="0"/>
      <w:outlineLvl w:val="7"/>
    </w:pPr>
    <w:rPr>
      <w:b/>
      <w:bCs/>
      <w:color w:val="7F7F7F"/>
      <w:sz w:val="20"/>
      <w:szCs w:val="20"/>
    </w:rPr>
  </w:style>
  <w:style w:type="paragraph" w:styleId="Ttulo9">
    <w:name w:val="heading 9"/>
    <w:basedOn w:val="Normal"/>
    <w:next w:val="Normal"/>
    <w:qFormat/>
    <w:pPr>
      <w:numPr>
        <w:ilvl w:val="8"/>
        <w:numId w:val="1"/>
      </w:numPr>
      <w:spacing w:after="0" w:line="264"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erschrift1Zchn">
    <w:name w:val="Überschrift 1 Zchn"/>
    <w:basedOn w:val="WW-Absatz-Standardschriftart1"/>
    <w:rPr>
      <w:smallCaps/>
      <w:spacing w:val="5"/>
      <w:sz w:val="36"/>
      <w:szCs w:val="36"/>
    </w:rPr>
  </w:style>
  <w:style w:type="character" w:customStyle="1" w:styleId="berschrift2Zchn">
    <w:name w:val="Überschrift 2 Zchn"/>
    <w:basedOn w:val="WW-Absatz-Standardschriftart1"/>
    <w:rPr>
      <w:smallCaps/>
      <w:sz w:val="28"/>
      <w:szCs w:val="28"/>
    </w:rPr>
  </w:style>
  <w:style w:type="character" w:customStyle="1" w:styleId="berschrift3Zchn">
    <w:name w:val="Überschrift 3 Zchn"/>
    <w:basedOn w:val="WW-Absatz-Standardschriftart1"/>
    <w:rPr>
      <w:i/>
      <w:iCs/>
      <w:smallCaps/>
      <w:spacing w:val="5"/>
      <w:sz w:val="26"/>
      <w:szCs w:val="26"/>
    </w:rPr>
  </w:style>
  <w:style w:type="character" w:customStyle="1" w:styleId="berschrift4Zchn">
    <w:name w:val="Überschrift 4 Zchn"/>
    <w:basedOn w:val="WW-Absatz-Standardschriftart1"/>
    <w:rPr>
      <w:b/>
      <w:bCs/>
      <w:spacing w:val="5"/>
      <w:sz w:val="24"/>
      <w:szCs w:val="24"/>
    </w:rPr>
  </w:style>
  <w:style w:type="character" w:customStyle="1" w:styleId="berschrift5Zchn">
    <w:name w:val="Überschrift 5 Zchn"/>
    <w:basedOn w:val="WW-Absatz-Standardschriftart1"/>
    <w:rPr>
      <w:i/>
      <w:iCs/>
      <w:sz w:val="24"/>
      <w:szCs w:val="24"/>
    </w:rPr>
  </w:style>
  <w:style w:type="character" w:customStyle="1" w:styleId="berschrift6Zchn">
    <w:name w:val="Überschrift 6 Zchn"/>
    <w:basedOn w:val="WW-Absatz-Standardschriftart1"/>
    <w:rPr>
      <w:b/>
      <w:bCs/>
      <w:color w:val="595959"/>
      <w:spacing w:val="5"/>
      <w:shd w:val="clear" w:color="auto" w:fill="FFFFFF"/>
    </w:rPr>
  </w:style>
  <w:style w:type="character" w:customStyle="1" w:styleId="berschrift7Zchn">
    <w:name w:val="Überschrift 7 Zchn"/>
    <w:basedOn w:val="WW-Absatz-Standardschriftart1"/>
    <w:rPr>
      <w:b/>
      <w:bCs/>
      <w:i/>
      <w:iCs/>
      <w:color w:val="5A5A5A"/>
      <w:sz w:val="20"/>
      <w:szCs w:val="20"/>
    </w:rPr>
  </w:style>
  <w:style w:type="character" w:customStyle="1" w:styleId="berschrift8Zchn">
    <w:name w:val="Überschrift 8 Zchn"/>
    <w:basedOn w:val="WW-Absatz-Standardschriftart1"/>
    <w:rPr>
      <w:b/>
      <w:bCs/>
      <w:color w:val="7F7F7F"/>
      <w:sz w:val="20"/>
      <w:szCs w:val="20"/>
    </w:rPr>
  </w:style>
  <w:style w:type="character" w:customStyle="1" w:styleId="berschrift9Zchn">
    <w:name w:val="Überschrift 9 Zchn"/>
    <w:basedOn w:val="WW-Absatz-Standardschriftart1"/>
    <w:rPr>
      <w:b/>
      <w:bCs/>
      <w:i/>
      <w:iCs/>
      <w:color w:val="7F7F7F"/>
      <w:sz w:val="18"/>
      <w:szCs w:val="18"/>
    </w:rPr>
  </w:style>
  <w:style w:type="character" w:customStyle="1" w:styleId="TitelZchn">
    <w:name w:val="Titel Zchn"/>
    <w:basedOn w:val="WW-Absatz-Standardschriftart1"/>
    <w:rPr>
      <w:smallCaps/>
      <w:sz w:val="52"/>
      <w:szCs w:val="52"/>
    </w:rPr>
  </w:style>
  <w:style w:type="character" w:customStyle="1" w:styleId="UntertitelZchn">
    <w:name w:val="Untertitel Zchn"/>
    <w:basedOn w:val="WW-Absatz-Standardschriftart1"/>
    <w:rPr>
      <w:i/>
      <w:iCs/>
      <w:smallCaps/>
      <w:spacing w:val="10"/>
      <w:sz w:val="28"/>
      <w:szCs w:val="28"/>
    </w:rPr>
  </w:style>
  <w:style w:type="character" w:styleId="Textoennegrita">
    <w:name w:val="Strong"/>
    <w:qFormat/>
    <w:rPr>
      <w:b/>
      <w:bCs/>
    </w:rPr>
  </w:style>
  <w:style w:type="character" w:styleId="nfasis">
    <w:name w:val="Emphasis"/>
    <w:qFormat/>
    <w:rPr>
      <w:b/>
      <w:bCs/>
      <w:i/>
      <w:iCs/>
      <w:spacing w:val="10"/>
    </w:rPr>
  </w:style>
  <w:style w:type="character" w:customStyle="1" w:styleId="AnfhrungszeichenZchn">
    <w:name w:val="Anführungszeichen Zchn"/>
    <w:basedOn w:val="WW-Absatz-Standardschriftart1"/>
    <w:rPr>
      <w:i/>
      <w:iCs/>
    </w:rPr>
  </w:style>
  <w:style w:type="character" w:customStyle="1" w:styleId="IntensivesAnfhrungszeichenZchn">
    <w:name w:val="Intensives Anführungszeichen Zchn"/>
    <w:basedOn w:val="WW-Absatz-Standardschriftart1"/>
    <w:rPr>
      <w:i/>
      <w:iCs/>
    </w:rPr>
  </w:style>
  <w:style w:type="character" w:customStyle="1" w:styleId="SchwacheHervorhebung">
    <w:name w:val="Schwache Hervorhebung"/>
    <w:rPr>
      <w:i/>
      <w:iCs/>
    </w:rPr>
  </w:style>
  <w:style w:type="character" w:customStyle="1" w:styleId="IntensiveHervorhebung">
    <w:name w:val="Intensive Hervorhebung"/>
    <w:rPr>
      <w:b/>
      <w:bCs/>
      <w:i/>
      <w:iCs/>
    </w:rPr>
  </w:style>
  <w:style w:type="character" w:customStyle="1" w:styleId="SchwacherVerweis">
    <w:name w:val="Schwacher Verweis"/>
    <w:basedOn w:val="WW-Absatz-Standardschriftart1"/>
    <w:rPr>
      <w:smallCaps/>
    </w:rPr>
  </w:style>
  <w:style w:type="character" w:customStyle="1" w:styleId="IntensiverVerweis">
    <w:name w:val="Intensiver Verweis"/>
    <w:rPr>
      <w:b/>
      <w:bCs/>
      <w:smallCaps/>
    </w:rPr>
  </w:style>
  <w:style w:type="character" w:customStyle="1" w:styleId="Buchtitel">
    <w:name w:val="Buchtitel"/>
    <w:basedOn w:val="WW-Absatz-Standardschriftart1"/>
    <w:rPr>
      <w:i/>
      <w:iCs/>
      <w:smallCaps/>
      <w:spacing w:val="5"/>
    </w:rPr>
  </w:style>
  <w:style w:type="character" w:customStyle="1" w:styleId="SprechblasentextZchn">
    <w:name w:val="Sprechblasentext Zchn"/>
    <w:basedOn w:val="WW-Absatz-Standardschriftart1"/>
    <w:rPr>
      <w:rFonts w:ascii="Tahoma" w:hAnsi="Tahoma" w:cs="Tahoma"/>
      <w:sz w:val="16"/>
      <w:szCs w:val="16"/>
    </w:rPr>
  </w:style>
  <w:style w:type="character" w:customStyle="1" w:styleId="KopfzeileZchn">
    <w:name w:val="Kopfzeile Zchn"/>
    <w:basedOn w:val="WW-Absatz-Standardschriftart1"/>
  </w:style>
  <w:style w:type="character" w:customStyle="1" w:styleId="FuzeileZchn">
    <w:name w:val="Fußzeile Zchn"/>
    <w:basedOn w:val="WW-Absatz-Standardschriftart1"/>
  </w:style>
  <w:style w:type="character" w:styleId="Hipervnculo">
    <w:name w:val="Hyperlink"/>
    <w:basedOn w:val="WW-Absatz-Standardschriftart1"/>
    <w:rPr>
      <w:color w:val="0000FF"/>
      <w:u w:val="single"/>
    </w:rPr>
  </w:style>
  <w:style w:type="character" w:customStyle="1" w:styleId="WW-Absatz-Standardschriftart11">
    <w:name w:val="WW-Absatz-Standardschriftart11"/>
  </w:style>
  <w:style w:type="character" w:customStyle="1" w:styleId="Kommentarzeichen">
    <w:name w:val="Kommentarzeichen"/>
    <w:basedOn w:val="WW-Absatz-Standardschriftart11"/>
    <w:rPr>
      <w:sz w:val="16"/>
      <w:szCs w:val="16"/>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ufzhlungszeichen">
    <w:name w:val="Aufzählungszeichen"/>
    <w:rPr>
      <w:rFonts w:ascii="OpenSymbol" w:eastAsia="OpenSymbol" w:hAnsi="OpenSymbol" w:cs="OpenSymbol"/>
    </w:rPr>
  </w:style>
  <w:style w:type="paragraph" w:customStyle="1" w:styleId="berschrift">
    <w:name w:val="Überschrift"/>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Beschriftung">
    <w:name w:val="Beschriftung"/>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Ttulo">
    <w:name w:val="Title"/>
    <w:basedOn w:val="Normal"/>
    <w:next w:val="Normal"/>
    <w:qFormat/>
    <w:pPr>
      <w:spacing w:after="300" w:line="100" w:lineRule="atLeast"/>
    </w:pPr>
    <w:rPr>
      <w:smallCaps/>
      <w:sz w:val="52"/>
      <w:szCs w:val="52"/>
    </w:rPr>
  </w:style>
  <w:style w:type="paragraph" w:styleId="Subttulo">
    <w:name w:val="Subtitle"/>
    <w:basedOn w:val="Normal"/>
    <w:next w:val="Normal"/>
    <w:qFormat/>
    <w:rPr>
      <w:i/>
      <w:iCs/>
      <w:smallCaps/>
      <w:spacing w:val="10"/>
      <w:sz w:val="28"/>
      <w:szCs w:val="28"/>
    </w:rPr>
  </w:style>
  <w:style w:type="paragraph" w:customStyle="1" w:styleId="KeinLeerraum">
    <w:name w:val="Kein Leerraum"/>
    <w:basedOn w:val="Normal"/>
    <w:pPr>
      <w:spacing w:after="0" w:line="100" w:lineRule="atLeast"/>
    </w:pPr>
  </w:style>
  <w:style w:type="paragraph" w:customStyle="1" w:styleId="Listenabsatz">
    <w:name w:val="Listenabsatz"/>
    <w:basedOn w:val="Normal"/>
    <w:pPr>
      <w:spacing w:after="0"/>
      <w:ind w:left="720"/>
    </w:pPr>
  </w:style>
  <w:style w:type="paragraph" w:customStyle="1" w:styleId="Anfhrungszeichen">
    <w:name w:val="Anführungszeichen"/>
    <w:basedOn w:val="Normal"/>
    <w:next w:val="Normal"/>
    <w:rPr>
      <w:i/>
      <w:iCs/>
    </w:rPr>
  </w:style>
  <w:style w:type="paragraph" w:customStyle="1" w:styleId="IntensivesAnfhrungszeichen">
    <w:name w:val="Intensives Anführungszeichen"/>
    <w:basedOn w:val="Normal"/>
    <w:next w:val="Normal"/>
    <w:pPr>
      <w:spacing w:before="240" w:after="240" w:line="300" w:lineRule="auto"/>
      <w:ind w:left="1152" w:right="1152"/>
      <w:jc w:val="both"/>
    </w:pPr>
    <w:rPr>
      <w:i/>
      <w:iCs/>
    </w:rPr>
  </w:style>
  <w:style w:type="paragraph" w:customStyle="1" w:styleId="Inhaltsverzeichnisberschrift">
    <w:name w:val="Inhaltsverzeichnisüberschrift"/>
    <w:basedOn w:val="Ttulo1"/>
    <w:next w:val="Normal"/>
    <w:pPr>
      <w:numPr>
        <w:numId w:val="0"/>
      </w:numPr>
      <w:spacing w:before="0"/>
    </w:pPr>
  </w:style>
  <w:style w:type="paragraph" w:customStyle="1" w:styleId="Sprechblasentext">
    <w:name w:val="Sprechblasentext"/>
    <w:basedOn w:val="Normal"/>
    <w:pPr>
      <w:spacing w:after="0" w:line="100" w:lineRule="atLeast"/>
    </w:pPr>
    <w:rPr>
      <w:rFonts w:ascii="Tahoma" w:hAnsi="Tahoma" w:cs="Tahoma"/>
      <w:sz w:val="16"/>
      <w:szCs w:val="16"/>
    </w:rPr>
  </w:style>
  <w:style w:type="paragraph" w:styleId="Encabezado">
    <w:name w:val="header"/>
    <w:basedOn w:val="Normal"/>
    <w:pPr>
      <w:tabs>
        <w:tab w:val="center" w:pos="4536"/>
        <w:tab w:val="right" w:pos="9072"/>
      </w:tabs>
      <w:spacing w:after="0" w:line="100" w:lineRule="atLeast"/>
    </w:pPr>
  </w:style>
  <w:style w:type="paragraph" w:styleId="Piedepgina">
    <w:name w:val="footer"/>
    <w:basedOn w:val="Normal"/>
    <w:pPr>
      <w:tabs>
        <w:tab w:val="center" w:pos="4536"/>
        <w:tab w:val="right" w:pos="9072"/>
      </w:tabs>
      <w:spacing w:after="0" w:line="100" w:lineRule="atLeast"/>
    </w:pPr>
  </w:style>
  <w:style w:type="paragraph" w:customStyle="1" w:styleId="VorformatierterText">
    <w:name w:val="Vorformatierter Text"/>
    <w:basedOn w:val="Normal"/>
    <w:pPr>
      <w:spacing w:after="0"/>
    </w:pPr>
    <w:rPr>
      <w:rFonts w:ascii="Courier New" w:eastAsia="NSimSun" w:hAnsi="Courier New" w:cs="Courier New"/>
      <w:sz w:val="20"/>
      <w:szCs w:val="20"/>
    </w:rPr>
  </w:style>
  <w:style w:type="paragraph" w:customStyle="1" w:styleId="TabellenInhalt">
    <w:name w:val="Tabellen Inhalt"/>
    <w:basedOn w:val="Normal"/>
    <w:pPr>
      <w:suppressLineNumbers/>
    </w:pPr>
  </w:style>
  <w:style w:type="paragraph" w:customStyle="1" w:styleId="Rahmeninhalt">
    <w:name w:val="Rahmeninhalt"/>
    <w:basedOn w:val="Textoindependient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6520</Characters>
  <Application>Microsoft Office Word</Application>
  <DocSecurity>0</DocSecurity>
  <Lines>54</Lines>
  <Paragraphs>15</Paragraphs>
  <ScaleCrop>false</ScaleCrop>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Kolko e V</dc:creator>
  <cp:lastModifiedBy>hil</cp:lastModifiedBy>
  <cp:revision>2</cp:revision>
  <cp:lastPrinted>2013-02-16T20:40:00Z</cp:lastPrinted>
  <dcterms:created xsi:type="dcterms:W3CDTF">2013-02-22T12:51:00Z</dcterms:created>
  <dcterms:modified xsi:type="dcterms:W3CDTF">2013-02-22T12:51:00Z</dcterms:modified>
</cp:coreProperties>
</file>